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DB3" w:rsidRDefault="009B4DB3">
      <w:r>
        <w:t>NEJM 366;7 591-600, February 16, 2012</w:t>
      </w:r>
    </w:p>
    <w:p w:rsidR="00975A88" w:rsidRDefault="009B4DB3">
      <w:r>
        <w:t xml:space="preserve">Intramuscular versus intravenous therapy for </w:t>
      </w:r>
      <w:proofErr w:type="spellStart"/>
      <w:r>
        <w:t>prehospital</w:t>
      </w:r>
      <w:proofErr w:type="spellEnd"/>
      <w:r>
        <w:t xml:space="preserve"> status </w:t>
      </w:r>
      <w:proofErr w:type="spellStart"/>
      <w:r>
        <w:t>epilepticus</w:t>
      </w:r>
      <w:proofErr w:type="spellEnd"/>
    </w:p>
    <w:p w:rsidR="009B4DB3" w:rsidRDefault="009B4DB3">
      <w:proofErr w:type="spellStart"/>
      <w:r>
        <w:t>Silbergleit</w:t>
      </w:r>
      <w:proofErr w:type="spellEnd"/>
      <w:r>
        <w:t xml:space="preserve"> R, </w:t>
      </w:r>
      <w:proofErr w:type="spellStart"/>
      <w:r>
        <w:t>Durkalski</w:t>
      </w:r>
      <w:proofErr w:type="spellEnd"/>
      <w:r>
        <w:t xml:space="preserve"> V, </w:t>
      </w:r>
      <w:proofErr w:type="spellStart"/>
      <w:r>
        <w:t>Lwenstein</w:t>
      </w:r>
      <w:proofErr w:type="spellEnd"/>
      <w:r>
        <w:t xml:space="preserve"> D, et al</w:t>
      </w:r>
    </w:p>
    <w:p w:rsidR="009B4DB3" w:rsidRPr="009B4DB3" w:rsidRDefault="009B4DB3" w:rsidP="009B4DB3">
      <w:pPr>
        <w:spacing w:after="0" w:line="240" w:lineRule="auto"/>
        <w:outlineLvl w:val="2"/>
        <w:rPr>
          <w:rFonts w:asciiTheme="majorHAnsi" w:eastAsia="Times New Roman" w:hAnsiTheme="majorHAnsi" w:cs="Times New Roman"/>
          <w:b/>
          <w:bCs/>
          <w:sz w:val="20"/>
          <w:szCs w:val="20"/>
        </w:rPr>
      </w:pPr>
      <w:r w:rsidRPr="009B4DB3">
        <w:rPr>
          <w:rFonts w:asciiTheme="majorHAnsi" w:eastAsia="Times New Roman" w:hAnsiTheme="majorHAnsi" w:cs="Times New Roman"/>
          <w:b/>
          <w:bCs/>
          <w:sz w:val="20"/>
          <w:szCs w:val="20"/>
        </w:rPr>
        <w:t>Background</w:t>
      </w:r>
    </w:p>
    <w:p w:rsidR="009B4DB3" w:rsidRPr="009B4DB3" w:rsidRDefault="009B4DB3" w:rsidP="009B4DB3">
      <w:pPr>
        <w:spacing w:after="0" w:line="240" w:lineRule="auto"/>
        <w:rPr>
          <w:rFonts w:asciiTheme="majorHAnsi" w:eastAsia="Times New Roman" w:hAnsiTheme="majorHAnsi" w:cs="Times New Roman"/>
          <w:sz w:val="20"/>
          <w:szCs w:val="20"/>
        </w:rPr>
      </w:pPr>
      <w:r w:rsidRPr="009B4DB3">
        <w:rPr>
          <w:rFonts w:asciiTheme="majorHAnsi" w:eastAsia="Times New Roman" w:hAnsiTheme="majorHAnsi" w:cs="Times New Roman"/>
          <w:sz w:val="20"/>
          <w:szCs w:val="20"/>
        </w:rPr>
        <w:t>Early termination of prolonged seizures with intravenous administration of benzodiazepines improves outcomes. For faster and more reliable administration, paramedics increasingly use an intramuscular route.</w:t>
      </w:r>
    </w:p>
    <w:p w:rsidR="009B4DB3" w:rsidRPr="009B4DB3" w:rsidRDefault="009B4DB3" w:rsidP="009B4DB3">
      <w:pPr>
        <w:spacing w:after="0" w:line="240" w:lineRule="auto"/>
        <w:outlineLvl w:val="2"/>
        <w:rPr>
          <w:rFonts w:asciiTheme="majorHAnsi" w:eastAsia="Times New Roman" w:hAnsiTheme="majorHAnsi" w:cs="Times New Roman"/>
          <w:b/>
          <w:bCs/>
          <w:sz w:val="20"/>
          <w:szCs w:val="20"/>
        </w:rPr>
      </w:pPr>
      <w:r w:rsidRPr="009B4DB3">
        <w:rPr>
          <w:rFonts w:asciiTheme="majorHAnsi" w:eastAsia="Times New Roman" w:hAnsiTheme="majorHAnsi" w:cs="Times New Roman"/>
          <w:b/>
          <w:bCs/>
          <w:sz w:val="20"/>
          <w:szCs w:val="20"/>
        </w:rPr>
        <w:t>Methods</w:t>
      </w:r>
    </w:p>
    <w:p w:rsidR="009B4DB3" w:rsidRPr="009B4DB3" w:rsidRDefault="009B4DB3" w:rsidP="009B4DB3">
      <w:pPr>
        <w:spacing w:after="0" w:line="240" w:lineRule="auto"/>
        <w:rPr>
          <w:rFonts w:asciiTheme="majorHAnsi" w:eastAsia="Times New Roman" w:hAnsiTheme="majorHAnsi" w:cs="Times New Roman"/>
          <w:sz w:val="20"/>
          <w:szCs w:val="20"/>
        </w:rPr>
      </w:pPr>
      <w:r w:rsidRPr="009B4DB3">
        <w:rPr>
          <w:rFonts w:asciiTheme="majorHAnsi" w:eastAsia="Times New Roman" w:hAnsiTheme="majorHAnsi" w:cs="Times New Roman"/>
          <w:sz w:val="20"/>
          <w:szCs w:val="20"/>
        </w:rPr>
        <w:t xml:space="preserve">This double-blind, randomized, </w:t>
      </w:r>
      <w:proofErr w:type="spellStart"/>
      <w:r w:rsidRPr="009B4DB3">
        <w:rPr>
          <w:rFonts w:asciiTheme="majorHAnsi" w:eastAsia="Times New Roman" w:hAnsiTheme="majorHAnsi" w:cs="Times New Roman"/>
          <w:sz w:val="20"/>
          <w:szCs w:val="20"/>
        </w:rPr>
        <w:t>noninferiority</w:t>
      </w:r>
      <w:proofErr w:type="spellEnd"/>
      <w:r w:rsidRPr="009B4DB3">
        <w:rPr>
          <w:rFonts w:asciiTheme="majorHAnsi" w:eastAsia="Times New Roman" w:hAnsiTheme="majorHAnsi" w:cs="Times New Roman"/>
          <w:sz w:val="20"/>
          <w:szCs w:val="20"/>
        </w:rPr>
        <w:t xml:space="preserve"> trial compared the efficacy of intramuscular </w:t>
      </w:r>
      <w:proofErr w:type="spellStart"/>
      <w:r w:rsidRPr="009B4DB3">
        <w:rPr>
          <w:rFonts w:asciiTheme="majorHAnsi" w:eastAsia="Times New Roman" w:hAnsiTheme="majorHAnsi" w:cs="Times New Roman"/>
          <w:sz w:val="20"/>
          <w:szCs w:val="20"/>
        </w:rPr>
        <w:t>midazolam</w:t>
      </w:r>
      <w:proofErr w:type="spellEnd"/>
      <w:r w:rsidRPr="009B4DB3">
        <w:rPr>
          <w:rFonts w:asciiTheme="majorHAnsi" w:eastAsia="Times New Roman" w:hAnsiTheme="majorHAnsi" w:cs="Times New Roman"/>
          <w:sz w:val="20"/>
          <w:szCs w:val="20"/>
        </w:rPr>
        <w:t xml:space="preserve"> with that of intravenous </w:t>
      </w:r>
      <w:proofErr w:type="spellStart"/>
      <w:r w:rsidRPr="009B4DB3">
        <w:rPr>
          <w:rFonts w:asciiTheme="majorHAnsi" w:eastAsia="Times New Roman" w:hAnsiTheme="majorHAnsi" w:cs="Times New Roman"/>
          <w:sz w:val="20"/>
          <w:szCs w:val="20"/>
        </w:rPr>
        <w:t>lorazepam</w:t>
      </w:r>
      <w:proofErr w:type="spellEnd"/>
      <w:r w:rsidRPr="009B4DB3">
        <w:rPr>
          <w:rFonts w:asciiTheme="majorHAnsi" w:eastAsia="Times New Roman" w:hAnsiTheme="majorHAnsi" w:cs="Times New Roman"/>
          <w:sz w:val="20"/>
          <w:szCs w:val="20"/>
        </w:rPr>
        <w:t xml:space="preserve"> for children and adults in status </w:t>
      </w:r>
      <w:proofErr w:type="spellStart"/>
      <w:r w:rsidRPr="009B4DB3">
        <w:rPr>
          <w:rFonts w:asciiTheme="majorHAnsi" w:eastAsia="Times New Roman" w:hAnsiTheme="majorHAnsi" w:cs="Times New Roman"/>
          <w:sz w:val="20"/>
          <w:szCs w:val="20"/>
        </w:rPr>
        <w:t>epilepticus</w:t>
      </w:r>
      <w:proofErr w:type="spellEnd"/>
      <w:r w:rsidRPr="009B4DB3">
        <w:rPr>
          <w:rFonts w:asciiTheme="majorHAnsi" w:eastAsia="Times New Roman" w:hAnsiTheme="majorHAnsi" w:cs="Times New Roman"/>
          <w:sz w:val="20"/>
          <w:szCs w:val="20"/>
        </w:rPr>
        <w:t xml:space="preserve"> treated by paramedics. Subjects whose convulsions had persisted for more than 5 minutes and who were still convulsing after paramedics arrived were given the study medication by either intramuscular </w:t>
      </w:r>
      <w:proofErr w:type="spellStart"/>
      <w:r w:rsidRPr="009B4DB3">
        <w:rPr>
          <w:rFonts w:asciiTheme="majorHAnsi" w:eastAsia="Times New Roman" w:hAnsiTheme="majorHAnsi" w:cs="Times New Roman"/>
          <w:sz w:val="20"/>
          <w:szCs w:val="20"/>
        </w:rPr>
        <w:t>autoinjector</w:t>
      </w:r>
      <w:proofErr w:type="spellEnd"/>
      <w:r w:rsidRPr="009B4DB3">
        <w:rPr>
          <w:rFonts w:asciiTheme="majorHAnsi" w:eastAsia="Times New Roman" w:hAnsiTheme="majorHAnsi" w:cs="Times New Roman"/>
          <w:sz w:val="20"/>
          <w:szCs w:val="20"/>
        </w:rPr>
        <w:t xml:space="preserve"> or intravenous infusion. The primary outcome was absence of seizures at the time of arrival in the emergency department without the need for rescue therapy. Secondary outcomes included </w:t>
      </w:r>
      <w:proofErr w:type="spellStart"/>
      <w:r w:rsidRPr="009B4DB3">
        <w:rPr>
          <w:rFonts w:asciiTheme="majorHAnsi" w:eastAsia="Times New Roman" w:hAnsiTheme="majorHAnsi" w:cs="Times New Roman"/>
          <w:sz w:val="20"/>
          <w:szCs w:val="20"/>
        </w:rPr>
        <w:t>endotracheal</w:t>
      </w:r>
      <w:proofErr w:type="spellEnd"/>
      <w:r w:rsidRPr="009B4DB3">
        <w:rPr>
          <w:rFonts w:asciiTheme="majorHAnsi" w:eastAsia="Times New Roman" w:hAnsiTheme="majorHAnsi" w:cs="Times New Roman"/>
          <w:sz w:val="20"/>
          <w:szCs w:val="20"/>
        </w:rPr>
        <w:t xml:space="preserve"> intubation, recurrent seizures, and timing of treatment relative to the cessation of convulsive seizures. This trial tested the hypothesis that intramuscular </w:t>
      </w:r>
      <w:proofErr w:type="spellStart"/>
      <w:r w:rsidRPr="009B4DB3">
        <w:rPr>
          <w:rFonts w:asciiTheme="majorHAnsi" w:eastAsia="Times New Roman" w:hAnsiTheme="majorHAnsi" w:cs="Times New Roman"/>
          <w:sz w:val="20"/>
          <w:szCs w:val="20"/>
        </w:rPr>
        <w:t>midazolam</w:t>
      </w:r>
      <w:proofErr w:type="spellEnd"/>
      <w:r w:rsidRPr="009B4DB3">
        <w:rPr>
          <w:rFonts w:asciiTheme="majorHAnsi" w:eastAsia="Times New Roman" w:hAnsiTheme="majorHAnsi" w:cs="Times New Roman"/>
          <w:sz w:val="20"/>
          <w:szCs w:val="20"/>
        </w:rPr>
        <w:t xml:space="preserve"> was </w:t>
      </w:r>
      <w:proofErr w:type="spellStart"/>
      <w:r w:rsidRPr="009B4DB3">
        <w:rPr>
          <w:rFonts w:asciiTheme="majorHAnsi" w:eastAsia="Times New Roman" w:hAnsiTheme="majorHAnsi" w:cs="Times New Roman"/>
          <w:sz w:val="20"/>
          <w:szCs w:val="20"/>
        </w:rPr>
        <w:t>noninferior</w:t>
      </w:r>
      <w:proofErr w:type="spellEnd"/>
      <w:r w:rsidRPr="009B4DB3">
        <w:rPr>
          <w:rFonts w:asciiTheme="majorHAnsi" w:eastAsia="Times New Roman" w:hAnsiTheme="majorHAnsi" w:cs="Times New Roman"/>
          <w:sz w:val="20"/>
          <w:szCs w:val="20"/>
        </w:rPr>
        <w:t xml:space="preserve"> to intravenous </w:t>
      </w:r>
      <w:proofErr w:type="spellStart"/>
      <w:r w:rsidRPr="009B4DB3">
        <w:rPr>
          <w:rFonts w:asciiTheme="majorHAnsi" w:eastAsia="Times New Roman" w:hAnsiTheme="majorHAnsi" w:cs="Times New Roman"/>
          <w:sz w:val="20"/>
          <w:szCs w:val="20"/>
        </w:rPr>
        <w:t>lorazepam</w:t>
      </w:r>
      <w:proofErr w:type="spellEnd"/>
      <w:r w:rsidRPr="009B4DB3">
        <w:rPr>
          <w:rFonts w:asciiTheme="majorHAnsi" w:eastAsia="Times New Roman" w:hAnsiTheme="majorHAnsi" w:cs="Times New Roman"/>
          <w:sz w:val="20"/>
          <w:szCs w:val="20"/>
        </w:rPr>
        <w:t xml:space="preserve"> by a margin of 10 percentage points.</w:t>
      </w:r>
    </w:p>
    <w:p w:rsidR="009B4DB3" w:rsidRPr="009B4DB3" w:rsidRDefault="009B4DB3" w:rsidP="009B4DB3">
      <w:pPr>
        <w:spacing w:after="0" w:line="240" w:lineRule="auto"/>
        <w:outlineLvl w:val="2"/>
        <w:rPr>
          <w:rFonts w:asciiTheme="majorHAnsi" w:eastAsia="Times New Roman" w:hAnsiTheme="majorHAnsi" w:cs="Times New Roman"/>
          <w:b/>
          <w:bCs/>
          <w:sz w:val="20"/>
          <w:szCs w:val="20"/>
        </w:rPr>
      </w:pPr>
      <w:r w:rsidRPr="009B4DB3">
        <w:rPr>
          <w:rFonts w:asciiTheme="majorHAnsi" w:eastAsia="Times New Roman" w:hAnsiTheme="majorHAnsi" w:cs="Times New Roman"/>
          <w:b/>
          <w:bCs/>
          <w:sz w:val="20"/>
          <w:szCs w:val="20"/>
        </w:rPr>
        <w:t>Results</w:t>
      </w:r>
    </w:p>
    <w:p w:rsidR="009B4DB3" w:rsidRPr="009B4DB3" w:rsidRDefault="009B4DB3" w:rsidP="009B4DB3">
      <w:pPr>
        <w:spacing w:after="0" w:line="240" w:lineRule="auto"/>
        <w:rPr>
          <w:rFonts w:asciiTheme="majorHAnsi" w:eastAsia="Times New Roman" w:hAnsiTheme="majorHAnsi" w:cs="Times New Roman"/>
          <w:sz w:val="20"/>
          <w:szCs w:val="20"/>
        </w:rPr>
      </w:pPr>
      <w:r w:rsidRPr="009B4DB3">
        <w:rPr>
          <w:rFonts w:asciiTheme="majorHAnsi" w:eastAsia="Times New Roman" w:hAnsiTheme="majorHAnsi" w:cs="Times New Roman"/>
          <w:sz w:val="20"/>
          <w:szCs w:val="20"/>
        </w:rPr>
        <w:t>At the time of arrival in the emergency department, seizures were absent without rescue therapy in 329 of 448 subjects (73.4%) in the intramuscular-</w:t>
      </w:r>
      <w:proofErr w:type="spellStart"/>
      <w:r w:rsidRPr="009B4DB3">
        <w:rPr>
          <w:rFonts w:asciiTheme="majorHAnsi" w:eastAsia="Times New Roman" w:hAnsiTheme="majorHAnsi" w:cs="Times New Roman"/>
          <w:sz w:val="20"/>
          <w:szCs w:val="20"/>
        </w:rPr>
        <w:t>midazolam</w:t>
      </w:r>
      <w:proofErr w:type="spellEnd"/>
      <w:r w:rsidRPr="009B4DB3">
        <w:rPr>
          <w:rFonts w:asciiTheme="majorHAnsi" w:eastAsia="Times New Roman" w:hAnsiTheme="majorHAnsi" w:cs="Times New Roman"/>
          <w:sz w:val="20"/>
          <w:szCs w:val="20"/>
        </w:rPr>
        <w:t xml:space="preserve"> group and in 282 of 445 (63.4%) in the intravenous-</w:t>
      </w:r>
      <w:proofErr w:type="spellStart"/>
      <w:r w:rsidRPr="009B4DB3">
        <w:rPr>
          <w:rFonts w:asciiTheme="majorHAnsi" w:eastAsia="Times New Roman" w:hAnsiTheme="majorHAnsi" w:cs="Times New Roman"/>
          <w:sz w:val="20"/>
          <w:szCs w:val="20"/>
        </w:rPr>
        <w:t>lorazepam</w:t>
      </w:r>
      <w:proofErr w:type="spellEnd"/>
      <w:r w:rsidRPr="009B4DB3">
        <w:rPr>
          <w:rFonts w:asciiTheme="majorHAnsi" w:eastAsia="Times New Roman" w:hAnsiTheme="majorHAnsi" w:cs="Times New Roman"/>
          <w:sz w:val="20"/>
          <w:szCs w:val="20"/>
        </w:rPr>
        <w:t xml:space="preserve"> group (absolute difference, 10 percentage points; 95% confidence interval, 4.0 to 16.1; P&lt;0.001 for both </w:t>
      </w:r>
      <w:proofErr w:type="spellStart"/>
      <w:r w:rsidRPr="009B4DB3">
        <w:rPr>
          <w:rFonts w:asciiTheme="majorHAnsi" w:eastAsia="Times New Roman" w:hAnsiTheme="majorHAnsi" w:cs="Times New Roman"/>
          <w:sz w:val="20"/>
          <w:szCs w:val="20"/>
        </w:rPr>
        <w:t>noninferiority</w:t>
      </w:r>
      <w:proofErr w:type="spellEnd"/>
      <w:r w:rsidRPr="009B4DB3">
        <w:rPr>
          <w:rFonts w:asciiTheme="majorHAnsi" w:eastAsia="Times New Roman" w:hAnsiTheme="majorHAnsi" w:cs="Times New Roman"/>
          <w:sz w:val="20"/>
          <w:szCs w:val="20"/>
        </w:rPr>
        <w:t xml:space="preserve"> and superiority). The two treatment groups were similar with respect to need for </w:t>
      </w:r>
      <w:proofErr w:type="spellStart"/>
      <w:r w:rsidRPr="009B4DB3">
        <w:rPr>
          <w:rFonts w:asciiTheme="majorHAnsi" w:eastAsia="Times New Roman" w:hAnsiTheme="majorHAnsi" w:cs="Times New Roman"/>
          <w:sz w:val="20"/>
          <w:szCs w:val="20"/>
        </w:rPr>
        <w:t>endotracheal</w:t>
      </w:r>
      <w:proofErr w:type="spellEnd"/>
      <w:r w:rsidRPr="009B4DB3">
        <w:rPr>
          <w:rFonts w:asciiTheme="majorHAnsi" w:eastAsia="Times New Roman" w:hAnsiTheme="majorHAnsi" w:cs="Times New Roman"/>
          <w:sz w:val="20"/>
          <w:szCs w:val="20"/>
        </w:rPr>
        <w:t xml:space="preserve"> intubation (14.1% of subjects with intramuscular </w:t>
      </w:r>
      <w:proofErr w:type="spellStart"/>
      <w:r w:rsidRPr="009B4DB3">
        <w:rPr>
          <w:rFonts w:asciiTheme="majorHAnsi" w:eastAsia="Times New Roman" w:hAnsiTheme="majorHAnsi" w:cs="Times New Roman"/>
          <w:sz w:val="20"/>
          <w:szCs w:val="20"/>
        </w:rPr>
        <w:t>midazolam</w:t>
      </w:r>
      <w:proofErr w:type="spellEnd"/>
      <w:r w:rsidRPr="009B4DB3">
        <w:rPr>
          <w:rFonts w:asciiTheme="majorHAnsi" w:eastAsia="Times New Roman" w:hAnsiTheme="majorHAnsi" w:cs="Times New Roman"/>
          <w:sz w:val="20"/>
          <w:szCs w:val="20"/>
        </w:rPr>
        <w:t xml:space="preserve"> and 14.4% with intravenous </w:t>
      </w:r>
      <w:proofErr w:type="spellStart"/>
      <w:r w:rsidRPr="009B4DB3">
        <w:rPr>
          <w:rFonts w:asciiTheme="majorHAnsi" w:eastAsia="Times New Roman" w:hAnsiTheme="majorHAnsi" w:cs="Times New Roman"/>
          <w:sz w:val="20"/>
          <w:szCs w:val="20"/>
        </w:rPr>
        <w:t>lorazepam</w:t>
      </w:r>
      <w:proofErr w:type="spellEnd"/>
      <w:r w:rsidRPr="009B4DB3">
        <w:rPr>
          <w:rFonts w:asciiTheme="majorHAnsi" w:eastAsia="Times New Roman" w:hAnsiTheme="majorHAnsi" w:cs="Times New Roman"/>
          <w:sz w:val="20"/>
          <w:szCs w:val="20"/>
        </w:rPr>
        <w:t>) and recurrence of seizures (11.4% and 10.6%, respectively). Among subjects whose seizures ceased before arrival in the emergency department, the median times to active treatment were 1.2 minutes in the intramuscular-</w:t>
      </w:r>
      <w:proofErr w:type="spellStart"/>
      <w:r w:rsidRPr="009B4DB3">
        <w:rPr>
          <w:rFonts w:asciiTheme="majorHAnsi" w:eastAsia="Times New Roman" w:hAnsiTheme="majorHAnsi" w:cs="Times New Roman"/>
          <w:sz w:val="20"/>
          <w:szCs w:val="20"/>
        </w:rPr>
        <w:t>midazolam</w:t>
      </w:r>
      <w:proofErr w:type="spellEnd"/>
      <w:r w:rsidRPr="009B4DB3">
        <w:rPr>
          <w:rFonts w:asciiTheme="majorHAnsi" w:eastAsia="Times New Roman" w:hAnsiTheme="majorHAnsi" w:cs="Times New Roman"/>
          <w:sz w:val="20"/>
          <w:szCs w:val="20"/>
        </w:rPr>
        <w:t xml:space="preserve"> group and 4.8 minutes in the intravenous-</w:t>
      </w:r>
      <w:proofErr w:type="spellStart"/>
      <w:r w:rsidRPr="009B4DB3">
        <w:rPr>
          <w:rFonts w:asciiTheme="majorHAnsi" w:eastAsia="Times New Roman" w:hAnsiTheme="majorHAnsi" w:cs="Times New Roman"/>
          <w:sz w:val="20"/>
          <w:szCs w:val="20"/>
        </w:rPr>
        <w:t>lorazepam</w:t>
      </w:r>
      <w:proofErr w:type="spellEnd"/>
      <w:r w:rsidRPr="009B4DB3">
        <w:rPr>
          <w:rFonts w:asciiTheme="majorHAnsi" w:eastAsia="Times New Roman" w:hAnsiTheme="majorHAnsi" w:cs="Times New Roman"/>
          <w:sz w:val="20"/>
          <w:szCs w:val="20"/>
        </w:rPr>
        <w:t xml:space="preserve"> group, with corresponding median times from active treatment to cessation of convulsions of 3.3 minutes and 1.6 minutes. Adverse-event rates were similar in the two groups.</w:t>
      </w:r>
    </w:p>
    <w:p w:rsidR="009B4DB3" w:rsidRPr="009B4DB3" w:rsidRDefault="009B4DB3" w:rsidP="009B4DB3">
      <w:pPr>
        <w:spacing w:after="0" w:line="240" w:lineRule="auto"/>
        <w:outlineLvl w:val="2"/>
        <w:rPr>
          <w:rFonts w:asciiTheme="majorHAnsi" w:eastAsia="Times New Roman" w:hAnsiTheme="majorHAnsi" w:cs="Times New Roman"/>
          <w:b/>
          <w:bCs/>
          <w:sz w:val="20"/>
          <w:szCs w:val="20"/>
        </w:rPr>
      </w:pPr>
      <w:r w:rsidRPr="009B4DB3">
        <w:rPr>
          <w:rFonts w:asciiTheme="majorHAnsi" w:eastAsia="Times New Roman" w:hAnsiTheme="majorHAnsi" w:cs="Times New Roman"/>
          <w:b/>
          <w:bCs/>
          <w:sz w:val="20"/>
          <w:szCs w:val="20"/>
        </w:rPr>
        <w:t>Conclusions</w:t>
      </w:r>
    </w:p>
    <w:p w:rsidR="009B4DB3" w:rsidRPr="009B4DB3" w:rsidRDefault="009B4DB3" w:rsidP="009B4DB3">
      <w:pPr>
        <w:spacing w:after="0" w:line="240" w:lineRule="auto"/>
        <w:rPr>
          <w:rFonts w:asciiTheme="majorHAnsi" w:eastAsia="Times New Roman" w:hAnsiTheme="majorHAnsi" w:cs="Times New Roman"/>
          <w:sz w:val="20"/>
          <w:szCs w:val="20"/>
        </w:rPr>
      </w:pPr>
      <w:r w:rsidRPr="009B4DB3">
        <w:rPr>
          <w:rFonts w:asciiTheme="majorHAnsi" w:eastAsia="Times New Roman" w:hAnsiTheme="majorHAnsi" w:cs="Times New Roman"/>
          <w:sz w:val="20"/>
          <w:szCs w:val="20"/>
        </w:rPr>
        <w:t xml:space="preserve">For subjects in status </w:t>
      </w:r>
      <w:proofErr w:type="spellStart"/>
      <w:r w:rsidRPr="009B4DB3">
        <w:rPr>
          <w:rFonts w:asciiTheme="majorHAnsi" w:eastAsia="Times New Roman" w:hAnsiTheme="majorHAnsi" w:cs="Times New Roman"/>
          <w:sz w:val="20"/>
          <w:szCs w:val="20"/>
        </w:rPr>
        <w:t>epilepticus</w:t>
      </w:r>
      <w:proofErr w:type="spellEnd"/>
      <w:r w:rsidRPr="009B4DB3">
        <w:rPr>
          <w:rFonts w:asciiTheme="majorHAnsi" w:eastAsia="Times New Roman" w:hAnsiTheme="majorHAnsi" w:cs="Times New Roman"/>
          <w:sz w:val="20"/>
          <w:szCs w:val="20"/>
        </w:rPr>
        <w:t xml:space="preserve">, intramuscular </w:t>
      </w:r>
      <w:proofErr w:type="spellStart"/>
      <w:r w:rsidRPr="009B4DB3">
        <w:rPr>
          <w:rFonts w:asciiTheme="majorHAnsi" w:eastAsia="Times New Roman" w:hAnsiTheme="majorHAnsi" w:cs="Times New Roman"/>
          <w:sz w:val="20"/>
          <w:szCs w:val="20"/>
        </w:rPr>
        <w:t>midazolam</w:t>
      </w:r>
      <w:proofErr w:type="spellEnd"/>
      <w:r w:rsidRPr="009B4DB3">
        <w:rPr>
          <w:rFonts w:asciiTheme="majorHAnsi" w:eastAsia="Times New Roman" w:hAnsiTheme="majorHAnsi" w:cs="Times New Roman"/>
          <w:sz w:val="20"/>
          <w:szCs w:val="20"/>
        </w:rPr>
        <w:t xml:space="preserve"> is at least as safe and effective as intravenous </w:t>
      </w:r>
      <w:proofErr w:type="spellStart"/>
      <w:r w:rsidRPr="009B4DB3">
        <w:rPr>
          <w:rFonts w:asciiTheme="majorHAnsi" w:eastAsia="Times New Roman" w:hAnsiTheme="majorHAnsi" w:cs="Times New Roman"/>
          <w:sz w:val="20"/>
          <w:szCs w:val="20"/>
        </w:rPr>
        <w:t>lorazepam</w:t>
      </w:r>
      <w:proofErr w:type="spellEnd"/>
      <w:r w:rsidRPr="009B4DB3">
        <w:rPr>
          <w:rFonts w:asciiTheme="majorHAnsi" w:eastAsia="Times New Roman" w:hAnsiTheme="majorHAnsi" w:cs="Times New Roman"/>
          <w:sz w:val="20"/>
          <w:szCs w:val="20"/>
        </w:rPr>
        <w:t xml:space="preserve"> for </w:t>
      </w:r>
      <w:proofErr w:type="spellStart"/>
      <w:r w:rsidRPr="009B4DB3">
        <w:rPr>
          <w:rFonts w:asciiTheme="majorHAnsi" w:eastAsia="Times New Roman" w:hAnsiTheme="majorHAnsi" w:cs="Times New Roman"/>
          <w:sz w:val="20"/>
          <w:szCs w:val="20"/>
        </w:rPr>
        <w:t>prehospital</w:t>
      </w:r>
      <w:proofErr w:type="spellEnd"/>
      <w:r w:rsidRPr="009B4DB3">
        <w:rPr>
          <w:rFonts w:asciiTheme="majorHAnsi" w:eastAsia="Times New Roman" w:hAnsiTheme="majorHAnsi" w:cs="Times New Roman"/>
          <w:sz w:val="20"/>
          <w:szCs w:val="20"/>
        </w:rPr>
        <w:t xml:space="preserve"> seizure cessation. (Funded by the National Institute of Neurological Disorders and Stroke and others; ClinicalTrials.gov number, ClinicalTrials.gov </w:t>
      </w:r>
      <w:hyperlink r:id="rId6" w:tgtFrame="url" w:history="1">
        <w:r w:rsidRPr="009B4DB3">
          <w:rPr>
            <w:rFonts w:asciiTheme="majorHAnsi" w:eastAsia="Times New Roman" w:hAnsiTheme="majorHAnsi" w:cs="Times New Roman"/>
            <w:color w:val="0000FF"/>
            <w:sz w:val="20"/>
            <w:szCs w:val="20"/>
            <w:u w:val="single"/>
          </w:rPr>
          <w:t>NCT00809146</w:t>
        </w:r>
      </w:hyperlink>
      <w:r w:rsidRPr="009B4DB3">
        <w:rPr>
          <w:rFonts w:asciiTheme="majorHAnsi" w:eastAsia="Times New Roman" w:hAnsiTheme="majorHAnsi" w:cs="Times New Roman"/>
          <w:sz w:val="20"/>
          <w:szCs w:val="20"/>
        </w:rPr>
        <w:t>.)</w:t>
      </w:r>
    </w:p>
    <w:p w:rsidR="009B4DB3" w:rsidRDefault="009B4DB3" w:rsidP="009B4DB3">
      <w:pPr>
        <w:spacing w:after="0"/>
      </w:pPr>
    </w:p>
    <w:p w:rsidR="009B4DB3" w:rsidRDefault="009B4DB3" w:rsidP="009B4DB3">
      <w:pPr>
        <w:pStyle w:val="ListParagraph"/>
        <w:numPr>
          <w:ilvl w:val="0"/>
          <w:numId w:val="1"/>
        </w:numPr>
        <w:spacing w:after="0"/>
      </w:pPr>
      <w:proofErr w:type="spellStart"/>
      <w:r>
        <w:t>Midazolam</w:t>
      </w:r>
      <w:proofErr w:type="spellEnd"/>
      <w:r>
        <w:t xml:space="preserve"> is rapidly absorbed intramuscularly</w:t>
      </w:r>
    </w:p>
    <w:p w:rsidR="009B4DB3" w:rsidRDefault="009B4DB3" w:rsidP="009B4DB3">
      <w:pPr>
        <w:pStyle w:val="ListParagraph"/>
        <w:numPr>
          <w:ilvl w:val="0"/>
          <w:numId w:val="1"/>
        </w:numPr>
        <w:spacing w:after="0"/>
      </w:pPr>
      <w:proofErr w:type="spellStart"/>
      <w:r>
        <w:t>Midazolam</w:t>
      </w:r>
      <w:proofErr w:type="spellEnd"/>
      <w:r>
        <w:t xml:space="preserve"> could be </w:t>
      </w:r>
      <w:proofErr w:type="spellStart"/>
      <w:r>
        <w:t>adminstered</w:t>
      </w:r>
      <w:proofErr w:type="spellEnd"/>
      <w:r>
        <w:t xml:space="preserve"> more rapidly, but had longer time to effect - overall the interval until termination of seizures was the same between groups. </w:t>
      </w:r>
    </w:p>
    <w:p w:rsidR="009B4DB3" w:rsidRDefault="009B4DB3" w:rsidP="009B4DB3">
      <w:pPr>
        <w:pStyle w:val="ListParagraph"/>
        <w:numPr>
          <w:ilvl w:val="0"/>
          <w:numId w:val="1"/>
        </w:numPr>
        <w:spacing w:after="0"/>
      </w:pPr>
      <w:r>
        <w:t xml:space="preserve">Lengths of stay in the ICU and hospital were not different, but more people in the IV </w:t>
      </w:r>
      <w:proofErr w:type="spellStart"/>
      <w:r>
        <w:t>lorazepam</w:t>
      </w:r>
      <w:proofErr w:type="spellEnd"/>
      <w:r>
        <w:t xml:space="preserve"> group were admitted (P=0.01)</w:t>
      </w:r>
    </w:p>
    <w:p w:rsidR="009B4DB3" w:rsidRDefault="009B4DB3" w:rsidP="009B4DB3">
      <w:pPr>
        <w:pStyle w:val="ListParagraph"/>
        <w:numPr>
          <w:ilvl w:val="0"/>
          <w:numId w:val="1"/>
        </w:numPr>
        <w:spacing w:after="0"/>
      </w:pPr>
      <w:proofErr w:type="spellStart"/>
      <w:r>
        <w:t>Midazolam</w:t>
      </w:r>
      <w:proofErr w:type="spellEnd"/>
      <w:r>
        <w:t xml:space="preserve"> was </w:t>
      </w:r>
      <w:proofErr w:type="spellStart"/>
      <w:r>
        <w:t>noninferior</w:t>
      </w:r>
      <w:proofErr w:type="spellEnd"/>
      <w:r>
        <w:t xml:space="preserve"> to </w:t>
      </w:r>
      <w:proofErr w:type="spellStart"/>
      <w:r>
        <w:t>lorazepam</w:t>
      </w:r>
      <w:proofErr w:type="spellEnd"/>
      <w:r>
        <w:t xml:space="preserve"> P&lt;0.001</w:t>
      </w:r>
      <w:r w:rsidR="005577EA">
        <w:t xml:space="preserve">, and may be superior to </w:t>
      </w:r>
      <w:proofErr w:type="spellStart"/>
      <w:r w:rsidR="005577EA">
        <w:t>lorazepam</w:t>
      </w:r>
      <w:proofErr w:type="spellEnd"/>
      <w:r w:rsidR="005577EA">
        <w:t xml:space="preserve"> P&lt;0.001</w:t>
      </w:r>
    </w:p>
    <w:p w:rsidR="005577EA" w:rsidRDefault="005577EA" w:rsidP="005577EA">
      <w:pPr>
        <w:spacing w:after="0"/>
      </w:pPr>
    </w:p>
    <w:p w:rsidR="005577EA" w:rsidRDefault="005577EA" w:rsidP="005577EA">
      <w:pPr>
        <w:pStyle w:val="ListParagraph"/>
        <w:numPr>
          <w:ilvl w:val="0"/>
          <w:numId w:val="2"/>
        </w:numPr>
        <w:spacing w:after="0"/>
      </w:pPr>
      <w:r>
        <w:t xml:space="preserve">True or False: intramuscular </w:t>
      </w:r>
      <w:proofErr w:type="spellStart"/>
      <w:r>
        <w:t>midazolam</w:t>
      </w:r>
      <w:proofErr w:type="spellEnd"/>
      <w:r>
        <w:t xml:space="preserve"> is at least as effective for treating status </w:t>
      </w:r>
      <w:proofErr w:type="spellStart"/>
      <w:r>
        <w:t>epilepticus</w:t>
      </w:r>
      <w:proofErr w:type="spellEnd"/>
      <w:r>
        <w:t xml:space="preserve"> as IV </w:t>
      </w:r>
      <w:proofErr w:type="spellStart"/>
      <w:r>
        <w:t>lorazepam</w:t>
      </w:r>
      <w:proofErr w:type="spellEnd"/>
      <w:r>
        <w:t xml:space="preserve">. </w:t>
      </w:r>
    </w:p>
    <w:p w:rsidR="005577EA" w:rsidRDefault="005577EA">
      <w:r>
        <w:br w:type="page"/>
      </w:r>
    </w:p>
    <w:p w:rsidR="005577EA" w:rsidRDefault="005577EA" w:rsidP="005577EA">
      <w:pPr>
        <w:spacing w:after="0"/>
      </w:pPr>
      <w:r>
        <w:lastRenderedPageBreak/>
        <w:t>NEJM 366;9 819-826, March 1, 2012</w:t>
      </w:r>
    </w:p>
    <w:p w:rsidR="005577EA" w:rsidRDefault="005577EA" w:rsidP="005577EA">
      <w:pPr>
        <w:spacing w:after="0"/>
      </w:pPr>
      <w:r>
        <w:t xml:space="preserve">Placebo-controlled trial of </w:t>
      </w:r>
      <w:proofErr w:type="spellStart"/>
      <w:r>
        <w:t>amantadine</w:t>
      </w:r>
      <w:proofErr w:type="spellEnd"/>
      <w:r>
        <w:t xml:space="preserve"> for severe traumatic brain injury</w:t>
      </w:r>
    </w:p>
    <w:p w:rsidR="005577EA" w:rsidRDefault="005577EA" w:rsidP="005577EA">
      <w:pPr>
        <w:spacing w:after="0"/>
      </w:pPr>
      <w:proofErr w:type="spellStart"/>
      <w:r>
        <w:t>Giacino</w:t>
      </w:r>
      <w:proofErr w:type="spellEnd"/>
      <w:r>
        <w:t xml:space="preserve"> JT, Whyte J, </w:t>
      </w:r>
      <w:proofErr w:type="spellStart"/>
      <w:r>
        <w:t>Bagiella</w:t>
      </w:r>
      <w:proofErr w:type="spellEnd"/>
      <w:r>
        <w:t xml:space="preserve"> E</w:t>
      </w:r>
    </w:p>
    <w:p w:rsidR="005577EA" w:rsidRDefault="005577EA" w:rsidP="005577EA">
      <w:pPr>
        <w:spacing w:after="0"/>
      </w:pPr>
    </w:p>
    <w:p w:rsidR="005577EA" w:rsidRPr="005577EA" w:rsidRDefault="005577EA" w:rsidP="005577EA">
      <w:pPr>
        <w:pStyle w:val="Heading3"/>
        <w:spacing w:before="0" w:beforeAutospacing="0" w:after="0" w:afterAutospacing="0"/>
        <w:rPr>
          <w:rFonts w:asciiTheme="majorHAnsi" w:hAnsiTheme="majorHAnsi"/>
          <w:sz w:val="20"/>
          <w:szCs w:val="20"/>
        </w:rPr>
      </w:pPr>
      <w:r w:rsidRPr="005577EA">
        <w:rPr>
          <w:rFonts w:asciiTheme="majorHAnsi" w:hAnsiTheme="majorHAnsi"/>
          <w:sz w:val="20"/>
          <w:szCs w:val="20"/>
        </w:rPr>
        <w:t>Background</w:t>
      </w:r>
    </w:p>
    <w:p w:rsidR="005577EA" w:rsidRPr="005577EA" w:rsidRDefault="005577EA" w:rsidP="005577EA">
      <w:pPr>
        <w:pStyle w:val="NormalWeb"/>
        <w:spacing w:before="0" w:beforeAutospacing="0" w:after="0" w:afterAutospacing="0"/>
        <w:rPr>
          <w:rFonts w:asciiTheme="majorHAnsi" w:hAnsiTheme="majorHAnsi"/>
          <w:sz w:val="20"/>
          <w:szCs w:val="20"/>
        </w:rPr>
      </w:pPr>
      <w:proofErr w:type="spellStart"/>
      <w:r w:rsidRPr="005577EA">
        <w:rPr>
          <w:rFonts w:asciiTheme="majorHAnsi" w:hAnsiTheme="majorHAnsi"/>
          <w:sz w:val="20"/>
          <w:szCs w:val="20"/>
        </w:rPr>
        <w:t>Amantadine</w:t>
      </w:r>
      <w:proofErr w:type="spellEnd"/>
      <w:r w:rsidRPr="005577EA">
        <w:rPr>
          <w:rFonts w:asciiTheme="majorHAnsi" w:hAnsiTheme="majorHAnsi"/>
          <w:sz w:val="20"/>
          <w:szCs w:val="20"/>
        </w:rPr>
        <w:t xml:space="preserve"> hydrochloride is one of the most commonly prescribed medications for patients with prolonged disorders of consciousness after traumatic brain injury. Preliminary studies have suggested that </w:t>
      </w:r>
      <w:proofErr w:type="spellStart"/>
      <w:r w:rsidRPr="005577EA">
        <w:rPr>
          <w:rFonts w:asciiTheme="majorHAnsi" w:hAnsiTheme="majorHAnsi"/>
          <w:sz w:val="20"/>
          <w:szCs w:val="20"/>
        </w:rPr>
        <w:t>amantadine</w:t>
      </w:r>
      <w:proofErr w:type="spellEnd"/>
      <w:r w:rsidRPr="005577EA">
        <w:rPr>
          <w:rFonts w:asciiTheme="majorHAnsi" w:hAnsiTheme="majorHAnsi"/>
          <w:sz w:val="20"/>
          <w:szCs w:val="20"/>
        </w:rPr>
        <w:t xml:space="preserve"> may promote functional recovery.</w:t>
      </w:r>
    </w:p>
    <w:p w:rsidR="005577EA" w:rsidRPr="005577EA" w:rsidRDefault="005577EA" w:rsidP="005577EA">
      <w:pPr>
        <w:pStyle w:val="Heading3"/>
        <w:spacing w:before="0" w:beforeAutospacing="0" w:after="0" w:afterAutospacing="0"/>
        <w:rPr>
          <w:rFonts w:asciiTheme="majorHAnsi" w:hAnsiTheme="majorHAnsi"/>
          <w:sz w:val="20"/>
          <w:szCs w:val="20"/>
        </w:rPr>
      </w:pPr>
      <w:r w:rsidRPr="005577EA">
        <w:rPr>
          <w:rFonts w:asciiTheme="majorHAnsi" w:hAnsiTheme="majorHAnsi"/>
          <w:sz w:val="20"/>
          <w:szCs w:val="20"/>
        </w:rPr>
        <w:t>Methods</w:t>
      </w:r>
    </w:p>
    <w:p w:rsidR="005577EA" w:rsidRPr="005577EA" w:rsidRDefault="005577EA" w:rsidP="005577EA">
      <w:pPr>
        <w:pStyle w:val="NormalWeb"/>
        <w:spacing w:before="0" w:beforeAutospacing="0" w:after="0" w:afterAutospacing="0"/>
        <w:rPr>
          <w:rFonts w:asciiTheme="majorHAnsi" w:hAnsiTheme="majorHAnsi"/>
          <w:sz w:val="20"/>
          <w:szCs w:val="20"/>
        </w:rPr>
      </w:pPr>
      <w:r w:rsidRPr="005577EA">
        <w:rPr>
          <w:rFonts w:asciiTheme="majorHAnsi" w:hAnsiTheme="majorHAnsi"/>
          <w:sz w:val="20"/>
          <w:szCs w:val="20"/>
        </w:rPr>
        <w:t xml:space="preserve">We enrolled 184 patients who were in a vegetative or minimally conscious state 4 to 16 weeks after traumatic brain injury and who were receiving inpatient rehabilitation. Patients were randomly assigned to receive </w:t>
      </w:r>
      <w:proofErr w:type="spellStart"/>
      <w:r w:rsidRPr="005577EA">
        <w:rPr>
          <w:rFonts w:asciiTheme="majorHAnsi" w:hAnsiTheme="majorHAnsi"/>
          <w:sz w:val="20"/>
          <w:szCs w:val="20"/>
        </w:rPr>
        <w:t>amantadine</w:t>
      </w:r>
      <w:proofErr w:type="spellEnd"/>
      <w:r w:rsidRPr="005577EA">
        <w:rPr>
          <w:rFonts w:asciiTheme="majorHAnsi" w:hAnsiTheme="majorHAnsi"/>
          <w:sz w:val="20"/>
          <w:szCs w:val="20"/>
        </w:rPr>
        <w:t xml:space="preserve"> or placebo for 4 weeks and were followed for 2 weeks after the treatment was discontinued. The rate of functional recovery on the Disability Rating Scale (DRS; range, 0 to 29, with higher scores indicating greater disability) was compared over the 4 weeks of treatment (primary outcome) and during the 2-week washout period with the use of mixed-effects regression models.</w:t>
      </w:r>
    </w:p>
    <w:p w:rsidR="005577EA" w:rsidRPr="005577EA" w:rsidRDefault="005577EA" w:rsidP="005577EA">
      <w:pPr>
        <w:pStyle w:val="Heading3"/>
        <w:spacing w:before="0" w:beforeAutospacing="0" w:after="0" w:afterAutospacing="0"/>
        <w:rPr>
          <w:rFonts w:asciiTheme="majorHAnsi" w:hAnsiTheme="majorHAnsi"/>
          <w:sz w:val="20"/>
          <w:szCs w:val="20"/>
        </w:rPr>
      </w:pPr>
      <w:r w:rsidRPr="005577EA">
        <w:rPr>
          <w:rFonts w:asciiTheme="majorHAnsi" w:hAnsiTheme="majorHAnsi"/>
          <w:sz w:val="20"/>
          <w:szCs w:val="20"/>
        </w:rPr>
        <w:t>Results</w:t>
      </w:r>
    </w:p>
    <w:p w:rsidR="005577EA" w:rsidRPr="005577EA" w:rsidRDefault="005577EA" w:rsidP="005577EA">
      <w:pPr>
        <w:pStyle w:val="NormalWeb"/>
        <w:spacing w:before="0" w:beforeAutospacing="0" w:after="0" w:afterAutospacing="0"/>
        <w:rPr>
          <w:rFonts w:asciiTheme="majorHAnsi" w:hAnsiTheme="majorHAnsi"/>
          <w:sz w:val="20"/>
          <w:szCs w:val="20"/>
        </w:rPr>
      </w:pPr>
      <w:r w:rsidRPr="005577EA">
        <w:rPr>
          <w:rFonts w:asciiTheme="majorHAnsi" w:hAnsiTheme="majorHAnsi"/>
          <w:sz w:val="20"/>
          <w:szCs w:val="20"/>
        </w:rPr>
        <w:t xml:space="preserve">During the 4-week treatment period, recovery was significantly faster in the </w:t>
      </w:r>
      <w:proofErr w:type="spellStart"/>
      <w:r w:rsidRPr="005577EA">
        <w:rPr>
          <w:rFonts w:asciiTheme="majorHAnsi" w:hAnsiTheme="majorHAnsi"/>
          <w:sz w:val="20"/>
          <w:szCs w:val="20"/>
        </w:rPr>
        <w:t>amantadine</w:t>
      </w:r>
      <w:proofErr w:type="spellEnd"/>
      <w:r w:rsidRPr="005577EA">
        <w:rPr>
          <w:rFonts w:asciiTheme="majorHAnsi" w:hAnsiTheme="majorHAnsi"/>
          <w:sz w:val="20"/>
          <w:szCs w:val="20"/>
        </w:rPr>
        <w:t xml:space="preserve"> group than in the placebo group, as measured by the DRS score (difference in slope, 0.24 points per week; P=0.007), indicating a benefit with respect to the primary outcome measure. In a </w:t>
      </w:r>
      <w:proofErr w:type="spellStart"/>
      <w:r w:rsidRPr="005577EA">
        <w:rPr>
          <w:rFonts w:asciiTheme="majorHAnsi" w:hAnsiTheme="majorHAnsi"/>
          <w:sz w:val="20"/>
          <w:szCs w:val="20"/>
        </w:rPr>
        <w:t>prespecified</w:t>
      </w:r>
      <w:proofErr w:type="spellEnd"/>
      <w:r w:rsidRPr="005577EA">
        <w:rPr>
          <w:rFonts w:asciiTheme="majorHAnsi" w:hAnsiTheme="majorHAnsi"/>
          <w:sz w:val="20"/>
          <w:szCs w:val="20"/>
        </w:rPr>
        <w:t xml:space="preserve"> subgroup analysis, the treatment effect was similar for patients in a vegetative state and those in a minimally conscious state. The rate of improvement in the </w:t>
      </w:r>
      <w:proofErr w:type="spellStart"/>
      <w:r w:rsidRPr="005577EA">
        <w:rPr>
          <w:rFonts w:asciiTheme="majorHAnsi" w:hAnsiTheme="majorHAnsi"/>
          <w:sz w:val="20"/>
          <w:szCs w:val="20"/>
        </w:rPr>
        <w:t>amantadine</w:t>
      </w:r>
      <w:proofErr w:type="spellEnd"/>
      <w:r w:rsidRPr="005577EA">
        <w:rPr>
          <w:rFonts w:asciiTheme="majorHAnsi" w:hAnsiTheme="majorHAnsi"/>
          <w:sz w:val="20"/>
          <w:szCs w:val="20"/>
        </w:rPr>
        <w:t xml:space="preserve"> group slowed during the 2 weeks after treatment (weeks 5 and 6) and was significantly slower than the rate in the placebo group (difference in slope, 0.30 points per week; P=0.02). The overall improvement in DRS scores between baseline and week 6 (2 weeks after treatment was discontinued) was similar in the two groups. There were no significant differences in the incidence of serious adverse events.</w:t>
      </w:r>
    </w:p>
    <w:p w:rsidR="005577EA" w:rsidRPr="005577EA" w:rsidRDefault="005577EA" w:rsidP="005577EA">
      <w:pPr>
        <w:pStyle w:val="Heading3"/>
        <w:spacing w:before="0" w:beforeAutospacing="0" w:after="0" w:afterAutospacing="0"/>
        <w:rPr>
          <w:rFonts w:asciiTheme="majorHAnsi" w:hAnsiTheme="majorHAnsi"/>
          <w:sz w:val="20"/>
          <w:szCs w:val="20"/>
        </w:rPr>
      </w:pPr>
      <w:r w:rsidRPr="005577EA">
        <w:rPr>
          <w:rFonts w:asciiTheme="majorHAnsi" w:hAnsiTheme="majorHAnsi"/>
          <w:sz w:val="20"/>
          <w:szCs w:val="20"/>
        </w:rPr>
        <w:t>Conclusions</w:t>
      </w:r>
    </w:p>
    <w:p w:rsidR="005577EA" w:rsidRPr="005577EA" w:rsidRDefault="005577EA" w:rsidP="005577EA">
      <w:pPr>
        <w:pStyle w:val="NormalWeb"/>
        <w:spacing w:before="0" w:beforeAutospacing="0" w:after="0" w:afterAutospacing="0"/>
        <w:rPr>
          <w:rFonts w:asciiTheme="majorHAnsi" w:hAnsiTheme="majorHAnsi"/>
          <w:sz w:val="20"/>
          <w:szCs w:val="20"/>
        </w:rPr>
      </w:pPr>
      <w:proofErr w:type="spellStart"/>
      <w:r w:rsidRPr="005577EA">
        <w:rPr>
          <w:rFonts w:asciiTheme="majorHAnsi" w:hAnsiTheme="majorHAnsi"/>
          <w:sz w:val="20"/>
          <w:szCs w:val="20"/>
        </w:rPr>
        <w:t>Amantadine</w:t>
      </w:r>
      <w:proofErr w:type="spellEnd"/>
      <w:r w:rsidRPr="005577EA">
        <w:rPr>
          <w:rFonts w:asciiTheme="majorHAnsi" w:hAnsiTheme="majorHAnsi"/>
          <w:sz w:val="20"/>
          <w:szCs w:val="20"/>
        </w:rPr>
        <w:t xml:space="preserve"> accelerated the pace of functional recovery during active treatment in patients with post-traumatic disorders of consciousness. (Funded by the National Institute on Disability and Rehabilitation Research; ClinicalTrials.gov number, </w:t>
      </w:r>
      <w:hyperlink r:id="rId7" w:tgtFrame="url" w:history="1">
        <w:r w:rsidRPr="005577EA">
          <w:rPr>
            <w:rStyle w:val="Hyperlink"/>
            <w:rFonts w:asciiTheme="majorHAnsi" w:hAnsiTheme="majorHAnsi"/>
            <w:sz w:val="20"/>
            <w:szCs w:val="20"/>
          </w:rPr>
          <w:t>NCT00970944</w:t>
        </w:r>
      </w:hyperlink>
      <w:r w:rsidRPr="005577EA">
        <w:rPr>
          <w:rFonts w:asciiTheme="majorHAnsi" w:hAnsiTheme="majorHAnsi"/>
          <w:sz w:val="20"/>
          <w:szCs w:val="20"/>
        </w:rPr>
        <w:t>.)</w:t>
      </w:r>
    </w:p>
    <w:p w:rsidR="005577EA" w:rsidRDefault="005577EA" w:rsidP="005577EA">
      <w:pPr>
        <w:spacing w:after="0"/>
      </w:pPr>
    </w:p>
    <w:p w:rsidR="005577EA" w:rsidRDefault="005577EA" w:rsidP="005577EA">
      <w:pPr>
        <w:spacing w:after="0"/>
      </w:pPr>
    </w:p>
    <w:p w:rsidR="005577EA" w:rsidRDefault="005577EA" w:rsidP="005577EA">
      <w:pPr>
        <w:pStyle w:val="ListParagraph"/>
        <w:numPr>
          <w:ilvl w:val="0"/>
          <w:numId w:val="3"/>
        </w:numPr>
        <w:spacing w:after="0"/>
      </w:pPr>
      <w:r>
        <w:t xml:space="preserve">Acute phase recovery from severe TBI is characterized by a brief period of neuronal excitability followed by a longer period of </w:t>
      </w:r>
      <w:proofErr w:type="spellStart"/>
      <w:r>
        <w:t>hypoexcitability</w:t>
      </w:r>
      <w:proofErr w:type="spellEnd"/>
      <w:r>
        <w:t>, involving depletion of multiple neurotransmitters.</w:t>
      </w:r>
    </w:p>
    <w:p w:rsidR="005577EA" w:rsidRDefault="005577EA" w:rsidP="005577EA">
      <w:pPr>
        <w:pStyle w:val="ListParagraph"/>
        <w:numPr>
          <w:ilvl w:val="0"/>
          <w:numId w:val="3"/>
        </w:numPr>
        <w:spacing w:after="0"/>
      </w:pPr>
      <w:proofErr w:type="spellStart"/>
      <w:r>
        <w:t>Amantadine</w:t>
      </w:r>
      <w:proofErr w:type="spellEnd"/>
      <w:r>
        <w:t xml:space="preserve"> </w:t>
      </w:r>
      <w:r w:rsidR="006A5FB0">
        <w:t>is NMDA antagonist (N-methyl-D-</w:t>
      </w:r>
      <w:proofErr w:type="spellStart"/>
      <w:r w:rsidR="006A5FB0">
        <w:t>aspartate</w:t>
      </w:r>
      <w:proofErr w:type="spellEnd"/>
      <w:r w:rsidR="006A5FB0">
        <w:t>) and indirect dopamine agonist</w:t>
      </w:r>
    </w:p>
    <w:p w:rsidR="005577EA" w:rsidRDefault="005577EA" w:rsidP="005577EA">
      <w:pPr>
        <w:pStyle w:val="ListParagraph"/>
        <w:numPr>
          <w:ilvl w:val="0"/>
          <w:numId w:val="3"/>
        </w:numPr>
        <w:spacing w:after="0"/>
      </w:pPr>
      <w:r>
        <w:t>Short treatment period because of concerns about patients being frequently transferred</w:t>
      </w:r>
    </w:p>
    <w:p w:rsidR="005577EA" w:rsidRDefault="005577EA" w:rsidP="005577EA">
      <w:pPr>
        <w:pStyle w:val="ListParagraph"/>
        <w:numPr>
          <w:ilvl w:val="0"/>
          <w:numId w:val="3"/>
        </w:numPr>
        <w:spacing w:after="0"/>
      </w:pPr>
      <w:r>
        <w:t xml:space="preserve">Increasing dose </w:t>
      </w:r>
      <w:proofErr w:type="spellStart"/>
      <w:r>
        <w:t>regimine</w:t>
      </w:r>
      <w:proofErr w:type="spellEnd"/>
      <w:r>
        <w:t xml:space="preserve"> based on progress - more placebo patients were given dose increases</w:t>
      </w:r>
    </w:p>
    <w:p w:rsidR="005577EA" w:rsidRDefault="005577EA" w:rsidP="005577EA">
      <w:pPr>
        <w:pStyle w:val="ListParagraph"/>
        <w:numPr>
          <w:ilvl w:val="0"/>
          <w:numId w:val="3"/>
        </w:numPr>
        <w:spacing w:after="0"/>
      </w:pPr>
      <w:r>
        <w:t xml:space="preserve">In both groups, patients enrolled earlier after injury and who were minimally conscious </w:t>
      </w:r>
      <w:proofErr w:type="spellStart"/>
      <w:r>
        <w:t>vs</w:t>
      </w:r>
      <w:proofErr w:type="spellEnd"/>
      <w:r>
        <w:t xml:space="preserve"> vegetative at enrollment had faster recovery rates. </w:t>
      </w:r>
    </w:p>
    <w:p w:rsidR="005577EA" w:rsidRDefault="005577EA" w:rsidP="005577EA">
      <w:pPr>
        <w:pStyle w:val="ListParagraph"/>
        <w:numPr>
          <w:ilvl w:val="0"/>
          <w:numId w:val="3"/>
        </w:numPr>
        <w:spacing w:after="0"/>
      </w:pPr>
      <w:r>
        <w:t xml:space="preserve">More </w:t>
      </w:r>
      <w:proofErr w:type="spellStart"/>
      <w:r>
        <w:t>amantadine</w:t>
      </w:r>
      <w:proofErr w:type="spellEnd"/>
      <w:r>
        <w:t xml:space="preserve"> patients had favorable outcomes on the DRS, fewer remained vegetative, and a greater percentage had recovery of key behavioral benchmarks on the CRS-R</w:t>
      </w:r>
    </w:p>
    <w:p w:rsidR="005577EA" w:rsidRDefault="005577EA" w:rsidP="005577EA">
      <w:pPr>
        <w:pStyle w:val="ListParagraph"/>
        <w:numPr>
          <w:ilvl w:val="0"/>
          <w:numId w:val="3"/>
        </w:numPr>
        <w:spacing w:after="0"/>
      </w:pPr>
      <w:r>
        <w:t xml:space="preserve">The rate of recovery attenuated substantially after the </w:t>
      </w:r>
      <w:proofErr w:type="spellStart"/>
      <w:r>
        <w:t>amantadine</w:t>
      </w:r>
      <w:proofErr w:type="spellEnd"/>
      <w:r>
        <w:t xml:space="preserve"> was discontinued</w:t>
      </w:r>
    </w:p>
    <w:p w:rsidR="006A5FB0" w:rsidRDefault="006A5FB0" w:rsidP="005577EA">
      <w:pPr>
        <w:pStyle w:val="ListParagraph"/>
        <w:numPr>
          <w:ilvl w:val="0"/>
          <w:numId w:val="3"/>
        </w:numPr>
        <w:spacing w:after="0"/>
      </w:pPr>
      <w:r>
        <w:t>Long term effects unknown</w:t>
      </w:r>
    </w:p>
    <w:p w:rsidR="00A255AE" w:rsidRDefault="00A255AE" w:rsidP="00A255AE">
      <w:pPr>
        <w:spacing w:after="0"/>
      </w:pPr>
    </w:p>
    <w:p w:rsidR="00A255AE" w:rsidRDefault="00A255AE" w:rsidP="00A255AE">
      <w:pPr>
        <w:spacing w:after="0"/>
      </w:pPr>
    </w:p>
    <w:p w:rsidR="00A255AE" w:rsidRDefault="00A255AE">
      <w:r>
        <w:br w:type="page"/>
      </w:r>
    </w:p>
    <w:p w:rsidR="00A255AE" w:rsidRDefault="00A255AE" w:rsidP="00A255AE">
      <w:pPr>
        <w:spacing w:after="0"/>
      </w:pPr>
      <w:r>
        <w:lastRenderedPageBreak/>
        <w:t xml:space="preserve">Vet </w:t>
      </w:r>
      <w:proofErr w:type="spellStart"/>
      <w:r>
        <w:t>Surg</w:t>
      </w:r>
      <w:proofErr w:type="spellEnd"/>
      <w:r>
        <w:t xml:space="preserve"> 41 (2012) 200-206.</w:t>
      </w:r>
    </w:p>
    <w:p w:rsidR="00A255AE" w:rsidRDefault="00A255AE" w:rsidP="00A255AE">
      <w:pPr>
        <w:spacing w:after="0"/>
      </w:pPr>
      <w:r>
        <w:t xml:space="preserve">The </w:t>
      </w:r>
      <w:proofErr w:type="spellStart"/>
      <w:r>
        <w:t>cutaneous</w:t>
      </w:r>
      <w:proofErr w:type="spellEnd"/>
      <w:r>
        <w:t xml:space="preserve"> </w:t>
      </w:r>
      <w:proofErr w:type="spellStart"/>
      <w:r>
        <w:t>trunci</w:t>
      </w:r>
      <w:proofErr w:type="spellEnd"/>
      <w:r>
        <w:t xml:space="preserve"> muscle reflex: a predictor of recovery in dogs with acute </w:t>
      </w:r>
      <w:proofErr w:type="spellStart"/>
      <w:r>
        <w:t>thoracolumbar</w:t>
      </w:r>
      <w:proofErr w:type="spellEnd"/>
      <w:r>
        <w:t xml:space="preserve"> </w:t>
      </w:r>
      <w:proofErr w:type="spellStart"/>
      <w:r>
        <w:t>myelopathies</w:t>
      </w:r>
      <w:proofErr w:type="spellEnd"/>
      <w:r>
        <w:t xml:space="preserve"> caused by </w:t>
      </w:r>
      <w:proofErr w:type="spellStart"/>
      <w:r>
        <w:t>intervertebral</w:t>
      </w:r>
      <w:proofErr w:type="spellEnd"/>
      <w:r>
        <w:t xml:space="preserve"> disk extrusions</w:t>
      </w:r>
    </w:p>
    <w:p w:rsidR="00A255AE" w:rsidRDefault="00A255AE" w:rsidP="00A255AE">
      <w:pPr>
        <w:spacing w:after="0"/>
      </w:pPr>
      <w:proofErr w:type="spellStart"/>
      <w:r>
        <w:t>Muguet-Channoit</w:t>
      </w:r>
      <w:proofErr w:type="spellEnd"/>
      <w:r>
        <w:t xml:space="preserve"> A, </w:t>
      </w:r>
      <w:proofErr w:type="spellStart"/>
      <w:r>
        <w:t>Olby</w:t>
      </w:r>
      <w:proofErr w:type="spellEnd"/>
      <w:r>
        <w:t xml:space="preserve"> N, Lim JH, et al</w:t>
      </w:r>
    </w:p>
    <w:p w:rsidR="00A255AE" w:rsidRDefault="00A255AE" w:rsidP="00A255AE">
      <w:pPr>
        <w:spacing w:after="0"/>
      </w:pPr>
    </w:p>
    <w:p w:rsidR="00A255AE" w:rsidRPr="00A255AE" w:rsidRDefault="00A255AE" w:rsidP="00A255AE">
      <w:pPr>
        <w:pStyle w:val="Heading4"/>
        <w:spacing w:before="0"/>
        <w:rPr>
          <w:color w:val="auto"/>
          <w:sz w:val="20"/>
          <w:szCs w:val="20"/>
          <w:lang/>
        </w:rPr>
      </w:pPr>
      <w:r w:rsidRPr="00A255AE">
        <w:rPr>
          <w:color w:val="auto"/>
          <w:sz w:val="20"/>
          <w:szCs w:val="20"/>
          <w:lang/>
        </w:rPr>
        <w:t>Objective</w:t>
      </w:r>
    </w:p>
    <w:p w:rsidR="00A255AE" w:rsidRPr="00A255AE" w:rsidRDefault="00A255AE" w:rsidP="00A255AE">
      <w:pPr>
        <w:pStyle w:val="NormalWeb"/>
        <w:spacing w:before="0" w:beforeAutospacing="0" w:after="0" w:afterAutospacing="0"/>
        <w:rPr>
          <w:rFonts w:asciiTheme="majorHAnsi" w:hAnsiTheme="majorHAnsi"/>
          <w:sz w:val="20"/>
          <w:szCs w:val="20"/>
          <w:lang/>
        </w:rPr>
      </w:pPr>
      <w:r w:rsidRPr="00A255AE">
        <w:rPr>
          <w:rFonts w:asciiTheme="majorHAnsi" w:hAnsiTheme="majorHAnsi"/>
          <w:sz w:val="20"/>
          <w:szCs w:val="20"/>
          <w:lang/>
        </w:rPr>
        <w:t xml:space="preserve">To determine whether changes in the </w:t>
      </w:r>
      <w:proofErr w:type="spellStart"/>
      <w:r w:rsidRPr="00A255AE">
        <w:rPr>
          <w:rFonts w:asciiTheme="majorHAnsi" w:hAnsiTheme="majorHAnsi"/>
          <w:sz w:val="20"/>
          <w:szCs w:val="20"/>
          <w:lang/>
        </w:rPr>
        <w:t>cutaneous</w:t>
      </w:r>
      <w:proofErr w:type="spellEnd"/>
      <w:r w:rsidRPr="00A255AE">
        <w:rPr>
          <w:rFonts w:asciiTheme="majorHAnsi" w:hAnsiTheme="majorHAnsi"/>
          <w:sz w:val="20"/>
          <w:szCs w:val="20"/>
          <w:lang/>
        </w:rPr>
        <w:t xml:space="preserve"> </w:t>
      </w:r>
      <w:proofErr w:type="spellStart"/>
      <w:r w:rsidRPr="00A255AE">
        <w:rPr>
          <w:rFonts w:asciiTheme="majorHAnsi" w:hAnsiTheme="majorHAnsi"/>
          <w:sz w:val="20"/>
          <w:szCs w:val="20"/>
          <w:lang/>
        </w:rPr>
        <w:t>trunci</w:t>
      </w:r>
      <w:proofErr w:type="spellEnd"/>
      <w:r w:rsidRPr="00A255AE">
        <w:rPr>
          <w:rFonts w:asciiTheme="majorHAnsi" w:hAnsiTheme="majorHAnsi"/>
          <w:sz w:val="20"/>
          <w:szCs w:val="20"/>
          <w:lang/>
        </w:rPr>
        <w:t xml:space="preserve"> muscle (CTM) reflex are an early predictor of outcome in dogs with severe acute </w:t>
      </w:r>
      <w:proofErr w:type="spellStart"/>
      <w:r w:rsidRPr="00A255AE">
        <w:rPr>
          <w:rFonts w:asciiTheme="majorHAnsi" w:hAnsiTheme="majorHAnsi"/>
          <w:sz w:val="20"/>
          <w:szCs w:val="20"/>
          <w:lang/>
        </w:rPr>
        <w:t>thoracolumbar</w:t>
      </w:r>
      <w:proofErr w:type="spellEnd"/>
      <w:r w:rsidRPr="00A255AE">
        <w:rPr>
          <w:rFonts w:asciiTheme="majorHAnsi" w:hAnsiTheme="majorHAnsi"/>
          <w:sz w:val="20"/>
          <w:szCs w:val="20"/>
          <w:lang/>
        </w:rPr>
        <w:t xml:space="preserve"> </w:t>
      </w:r>
      <w:proofErr w:type="spellStart"/>
      <w:r w:rsidRPr="00A255AE">
        <w:rPr>
          <w:rFonts w:asciiTheme="majorHAnsi" w:hAnsiTheme="majorHAnsi"/>
          <w:sz w:val="20"/>
          <w:szCs w:val="20"/>
          <w:lang/>
        </w:rPr>
        <w:t>intervertebral</w:t>
      </w:r>
      <w:proofErr w:type="spellEnd"/>
      <w:r w:rsidRPr="00A255AE">
        <w:rPr>
          <w:rFonts w:asciiTheme="majorHAnsi" w:hAnsiTheme="majorHAnsi"/>
          <w:sz w:val="20"/>
          <w:szCs w:val="20"/>
          <w:lang/>
        </w:rPr>
        <w:t xml:space="preserve"> disc extrusion (IVDE).</w:t>
      </w:r>
    </w:p>
    <w:p w:rsidR="00A255AE" w:rsidRPr="00A255AE" w:rsidRDefault="00A255AE" w:rsidP="00A255AE">
      <w:pPr>
        <w:pStyle w:val="Heading4"/>
        <w:spacing w:before="0"/>
        <w:rPr>
          <w:color w:val="auto"/>
          <w:sz w:val="20"/>
          <w:szCs w:val="20"/>
          <w:lang/>
        </w:rPr>
      </w:pPr>
      <w:r w:rsidRPr="00A255AE">
        <w:rPr>
          <w:color w:val="auto"/>
          <w:sz w:val="20"/>
          <w:szCs w:val="20"/>
          <w:lang/>
        </w:rPr>
        <w:t>Study Design</w:t>
      </w:r>
    </w:p>
    <w:p w:rsidR="00A255AE" w:rsidRPr="00A255AE" w:rsidRDefault="00A255AE" w:rsidP="00A255AE">
      <w:pPr>
        <w:pStyle w:val="NormalWeb"/>
        <w:spacing w:before="0" w:beforeAutospacing="0" w:after="0" w:afterAutospacing="0"/>
        <w:rPr>
          <w:rFonts w:asciiTheme="majorHAnsi" w:hAnsiTheme="majorHAnsi"/>
          <w:sz w:val="20"/>
          <w:szCs w:val="20"/>
          <w:lang/>
        </w:rPr>
      </w:pPr>
      <w:r w:rsidRPr="00A255AE">
        <w:rPr>
          <w:rFonts w:asciiTheme="majorHAnsi" w:hAnsiTheme="majorHAnsi"/>
          <w:sz w:val="20"/>
          <w:szCs w:val="20"/>
          <w:lang/>
        </w:rPr>
        <w:t>Multicenter prospective cohort study.</w:t>
      </w:r>
    </w:p>
    <w:p w:rsidR="00A255AE" w:rsidRPr="00A255AE" w:rsidRDefault="00A255AE" w:rsidP="00A255AE">
      <w:pPr>
        <w:pStyle w:val="Heading4"/>
        <w:spacing w:before="0"/>
        <w:rPr>
          <w:color w:val="auto"/>
          <w:sz w:val="20"/>
          <w:szCs w:val="20"/>
          <w:lang/>
        </w:rPr>
      </w:pPr>
      <w:r w:rsidRPr="00A255AE">
        <w:rPr>
          <w:color w:val="auto"/>
          <w:sz w:val="20"/>
          <w:szCs w:val="20"/>
          <w:lang/>
        </w:rPr>
        <w:t>Animals</w:t>
      </w:r>
    </w:p>
    <w:p w:rsidR="00A255AE" w:rsidRPr="00A255AE" w:rsidRDefault="00A255AE" w:rsidP="00A255AE">
      <w:pPr>
        <w:pStyle w:val="NormalWeb"/>
        <w:spacing w:before="0" w:beforeAutospacing="0" w:after="0" w:afterAutospacing="0"/>
        <w:rPr>
          <w:rFonts w:asciiTheme="majorHAnsi" w:hAnsiTheme="majorHAnsi"/>
          <w:sz w:val="20"/>
          <w:szCs w:val="20"/>
          <w:lang/>
        </w:rPr>
      </w:pPr>
      <w:r w:rsidRPr="00A255AE">
        <w:rPr>
          <w:rFonts w:asciiTheme="majorHAnsi" w:hAnsiTheme="majorHAnsi"/>
          <w:sz w:val="20"/>
          <w:szCs w:val="20"/>
          <w:lang/>
        </w:rPr>
        <w:t xml:space="preserve">Dogs (n = 36) with acute IVDE causing paraplegia, loss of </w:t>
      </w:r>
      <w:proofErr w:type="spellStart"/>
      <w:r w:rsidRPr="00A255AE">
        <w:rPr>
          <w:rFonts w:asciiTheme="majorHAnsi" w:hAnsiTheme="majorHAnsi"/>
          <w:sz w:val="20"/>
          <w:szCs w:val="20"/>
          <w:lang/>
        </w:rPr>
        <w:t>nociception</w:t>
      </w:r>
      <w:proofErr w:type="spellEnd"/>
      <w:r w:rsidRPr="00A255AE">
        <w:rPr>
          <w:rFonts w:asciiTheme="majorHAnsi" w:hAnsiTheme="majorHAnsi"/>
          <w:sz w:val="20"/>
          <w:szCs w:val="20"/>
          <w:lang/>
        </w:rPr>
        <w:t xml:space="preserve"> in pelvic limbs and tail, and an abnormal CTM reflex postoperatively.</w:t>
      </w:r>
    </w:p>
    <w:p w:rsidR="00A255AE" w:rsidRPr="00A255AE" w:rsidRDefault="00A255AE" w:rsidP="00A255AE">
      <w:pPr>
        <w:pStyle w:val="Heading4"/>
        <w:spacing w:before="0"/>
        <w:rPr>
          <w:color w:val="auto"/>
          <w:sz w:val="20"/>
          <w:szCs w:val="20"/>
          <w:lang/>
        </w:rPr>
      </w:pPr>
      <w:r w:rsidRPr="00A255AE">
        <w:rPr>
          <w:color w:val="auto"/>
          <w:sz w:val="20"/>
          <w:szCs w:val="20"/>
          <w:lang/>
        </w:rPr>
        <w:t>Methods</w:t>
      </w:r>
    </w:p>
    <w:p w:rsidR="00A255AE" w:rsidRPr="00A255AE" w:rsidRDefault="00A255AE" w:rsidP="00A255AE">
      <w:pPr>
        <w:pStyle w:val="NormalWeb"/>
        <w:spacing w:before="0" w:beforeAutospacing="0" w:after="0" w:afterAutospacing="0"/>
        <w:rPr>
          <w:rFonts w:asciiTheme="majorHAnsi" w:hAnsiTheme="majorHAnsi"/>
          <w:sz w:val="20"/>
          <w:szCs w:val="20"/>
          <w:lang/>
        </w:rPr>
      </w:pPr>
      <w:r w:rsidRPr="00A255AE">
        <w:rPr>
          <w:rFonts w:asciiTheme="majorHAnsi" w:hAnsiTheme="majorHAnsi"/>
          <w:sz w:val="20"/>
          <w:szCs w:val="20"/>
          <w:lang/>
        </w:rPr>
        <w:t xml:space="preserve">The caudal border of the CTM reflex was established 24 hours after surgery and at discharge, and was reported as moving cranially, caudally, or staying static. Dogs were re-evaluated at 12–20 weeks and at 7–36 months postoperatively. Outcome was classified as improved or unimproved, successful or unsuccessful, and ascending </w:t>
      </w:r>
      <w:proofErr w:type="spellStart"/>
      <w:r w:rsidRPr="00A255AE">
        <w:rPr>
          <w:rFonts w:asciiTheme="majorHAnsi" w:hAnsiTheme="majorHAnsi"/>
          <w:sz w:val="20"/>
          <w:szCs w:val="20"/>
          <w:lang/>
        </w:rPr>
        <w:t>myelomalacia</w:t>
      </w:r>
      <w:proofErr w:type="spellEnd"/>
      <w:r w:rsidRPr="00A255AE">
        <w:rPr>
          <w:rFonts w:asciiTheme="majorHAnsi" w:hAnsiTheme="majorHAnsi"/>
          <w:sz w:val="20"/>
          <w:szCs w:val="20"/>
          <w:lang/>
        </w:rPr>
        <w:t xml:space="preserve"> or not, and compared with early movement of the CTM reflex by construction of contingency tables and performing a Fisher's exact test.</w:t>
      </w:r>
    </w:p>
    <w:p w:rsidR="00A255AE" w:rsidRPr="00A255AE" w:rsidRDefault="00A255AE" w:rsidP="00A255AE">
      <w:pPr>
        <w:pStyle w:val="Heading4"/>
        <w:spacing w:before="0"/>
        <w:rPr>
          <w:color w:val="auto"/>
          <w:sz w:val="20"/>
          <w:szCs w:val="20"/>
          <w:lang/>
        </w:rPr>
      </w:pPr>
      <w:r w:rsidRPr="00A255AE">
        <w:rPr>
          <w:color w:val="auto"/>
          <w:sz w:val="20"/>
          <w:szCs w:val="20"/>
          <w:lang/>
        </w:rPr>
        <w:t>Results</w:t>
      </w:r>
    </w:p>
    <w:p w:rsidR="00A255AE" w:rsidRPr="00A255AE" w:rsidRDefault="00A255AE" w:rsidP="00A255AE">
      <w:pPr>
        <w:pStyle w:val="NormalWeb"/>
        <w:spacing w:before="0" w:beforeAutospacing="0" w:after="0" w:afterAutospacing="0"/>
        <w:rPr>
          <w:rFonts w:asciiTheme="majorHAnsi" w:hAnsiTheme="majorHAnsi"/>
          <w:sz w:val="20"/>
          <w:szCs w:val="20"/>
          <w:lang/>
        </w:rPr>
      </w:pPr>
      <w:r w:rsidRPr="00A255AE">
        <w:rPr>
          <w:rFonts w:asciiTheme="majorHAnsi" w:hAnsiTheme="majorHAnsi"/>
          <w:sz w:val="20"/>
          <w:szCs w:val="20"/>
          <w:lang/>
        </w:rPr>
        <w:t xml:space="preserve">By discharge (mean, 4.7 days; SD = 2.10), CTM reflex progression was caudal in 19 dogs, static in 11, and cranial in 6. Five of 6 dogs with cranial movement developed ascending </w:t>
      </w:r>
      <w:proofErr w:type="spellStart"/>
      <w:r w:rsidRPr="00A255AE">
        <w:rPr>
          <w:rFonts w:asciiTheme="majorHAnsi" w:hAnsiTheme="majorHAnsi"/>
          <w:sz w:val="20"/>
          <w:szCs w:val="20"/>
          <w:lang/>
        </w:rPr>
        <w:t>myelomalacia</w:t>
      </w:r>
      <w:proofErr w:type="spellEnd"/>
      <w:r w:rsidRPr="00A255AE">
        <w:rPr>
          <w:rFonts w:asciiTheme="majorHAnsi" w:hAnsiTheme="majorHAnsi"/>
          <w:sz w:val="20"/>
          <w:szCs w:val="20"/>
          <w:lang/>
        </w:rPr>
        <w:t xml:space="preserve"> (</w:t>
      </w:r>
      <w:r w:rsidRPr="00A255AE">
        <w:rPr>
          <w:rStyle w:val="Emphasis"/>
          <w:rFonts w:asciiTheme="majorHAnsi" w:hAnsiTheme="majorHAnsi"/>
          <w:sz w:val="20"/>
          <w:szCs w:val="20"/>
          <w:lang/>
        </w:rPr>
        <w:t>P</w:t>
      </w:r>
      <w:r w:rsidRPr="00A255AE">
        <w:rPr>
          <w:rFonts w:asciiTheme="majorHAnsi" w:hAnsiTheme="majorHAnsi"/>
          <w:sz w:val="20"/>
          <w:szCs w:val="20"/>
          <w:lang/>
        </w:rPr>
        <w:t xml:space="preserve"> &lt; .0001). Seventeen of 19 dogs with caudal movement showed an improvement by 12–20 weeks (</w:t>
      </w:r>
      <w:r w:rsidRPr="00A255AE">
        <w:rPr>
          <w:rStyle w:val="Emphasis"/>
          <w:rFonts w:asciiTheme="majorHAnsi" w:hAnsiTheme="majorHAnsi"/>
          <w:sz w:val="20"/>
          <w:szCs w:val="20"/>
          <w:lang/>
        </w:rPr>
        <w:t>P</w:t>
      </w:r>
      <w:r w:rsidRPr="00A255AE">
        <w:rPr>
          <w:rFonts w:asciiTheme="majorHAnsi" w:hAnsiTheme="majorHAnsi"/>
          <w:sz w:val="20"/>
          <w:szCs w:val="20"/>
          <w:lang/>
        </w:rPr>
        <w:t xml:space="preserve"> = .0046) and none developed ascending </w:t>
      </w:r>
      <w:proofErr w:type="spellStart"/>
      <w:r w:rsidRPr="00A255AE">
        <w:rPr>
          <w:rFonts w:asciiTheme="majorHAnsi" w:hAnsiTheme="majorHAnsi"/>
          <w:sz w:val="20"/>
          <w:szCs w:val="20"/>
          <w:lang/>
        </w:rPr>
        <w:t>myelomalacia</w:t>
      </w:r>
      <w:proofErr w:type="spellEnd"/>
      <w:r w:rsidRPr="00A255AE">
        <w:rPr>
          <w:rFonts w:asciiTheme="majorHAnsi" w:hAnsiTheme="majorHAnsi"/>
          <w:sz w:val="20"/>
          <w:szCs w:val="20"/>
          <w:lang/>
        </w:rPr>
        <w:t xml:space="preserve"> (</w:t>
      </w:r>
      <w:r w:rsidRPr="00A255AE">
        <w:rPr>
          <w:rStyle w:val="Emphasis"/>
          <w:rFonts w:asciiTheme="majorHAnsi" w:hAnsiTheme="majorHAnsi"/>
          <w:sz w:val="20"/>
          <w:szCs w:val="20"/>
          <w:lang/>
        </w:rPr>
        <w:t>P</w:t>
      </w:r>
      <w:r w:rsidRPr="00A255AE">
        <w:rPr>
          <w:rFonts w:asciiTheme="majorHAnsi" w:hAnsiTheme="majorHAnsi"/>
          <w:sz w:val="20"/>
          <w:szCs w:val="20"/>
          <w:lang/>
        </w:rPr>
        <w:t xml:space="preserve"> = .0013).</w:t>
      </w:r>
    </w:p>
    <w:p w:rsidR="00A255AE" w:rsidRPr="00A255AE" w:rsidRDefault="00A255AE" w:rsidP="00A255AE">
      <w:pPr>
        <w:pStyle w:val="Heading4"/>
        <w:spacing w:before="0"/>
        <w:rPr>
          <w:color w:val="auto"/>
          <w:sz w:val="20"/>
          <w:szCs w:val="20"/>
          <w:lang/>
        </w:rPr>
      </w:pPr>
      <w:r w:rsidRPr="00A255AE">
        <w:rPr>
          <w:color w:val="auto"/>
          <w:sz w:val="20"/>
          <w:szCs w:val="20"/>
          <w:lang/>
        </w:rPr>
        <w:t>Conclusions</w:t>
      </w:r>
    </w:p>
    <w:p w:rsidR="00A255AE" w:rsidRPr="00A255AE" w:rsidRDefault="00A255AE" w:rsidP="00A255AE">
      <w:pPr>
        <w:pStyle w:val="NormalWeb"/>
        <w:spacing w:before="0" w:beforeAutospacing="0" w:after="0" w:afterAutospacing="0"/>
        <w:rPr>
          <w:rFonts w:asciiTheme="majorHAnsi" w:hAnsiTheme="majorHAnsi"/>
          <w:sz w:val="20"/>
          <w:szCs w:val="20"/>
          <w:lang/>
        </w:rPr>
      </w:pPr>
      <w:r w:rsidRPr="00A255AE">
        <w:rPr>
          <w:rFonts w:asciiTheme="majorHAnsi" w:hAnsiTheme="majorHAnsi"/>
          <w:sz w:val="20"/>
          <w:szCs w:val="20"/>
          <w:lang/>
        </w:rPr>
        <w:t xml:space="preserve">Postoperative changes of the caudal border of the CTM reflex are an early indicator of outcome in dogs with severe acute IVDE. Cranial movement of the CTM reflex is significantly associated with the development of ascending </w:t>
      </w:r>
      <w:proofErr w:type="spellStart"/>
      <w:r w:rsidRPr="00A255AE">
        <w:rPr>
          <w:rFonts w:asciiTheme="majorHAnsi" w:hAnsiTheme="majorHAnsi"/>
          <w:sz w:val="20"/>
          <w:szCs w:val="20"/>
          <w:lang/>
        </w:rPr>
        <w:t>myelomalacia</w:t>
      </w:r>
      <w:proofErr w:type="spellEnd"/>
      <w:r w:rsidRPr="00A255AE">
        <w:rPr>
          <w:rFonts w:asciiTheme="majorHAnsi" w:hAnsiTheme="majorHAnsi"/>
          <w:sz w:val="20"/>
          <w:szCs w:val="20"/>
          <w:lang/>
        </w:rPr>
        <w:t>. Caudal movement is significantly associated with improvement, but not associated with a long-term successful outcome.</w:t>
      </w:r>
    </w:p>
    <w:p w:rsidR="00A255AE" w:rsidRDefault="00A255AE" w:rsidP="00A255AE">
      <w:pPr>
        <w:spacing w:after="0"/>
        <w:rPr>
          <w:rFonts w:asciiTheme="majorHAnsi" w:hAnsiTheme="majorHAnsi"/>
          <w:sz w:val="20"/>
          <w:szCs w:val="20"/>
        </w:rPr>
      </w:pPr>
    </w:p>
    <w:p w:rsidR="00A255AE" w:rsidRDefault="00A255AE" w:rsidP="00A255AE">
      <w:pPr>
        <w:pStyle w:val="ListParagraph"/>
        <w:numPr>
          <w:ilvl w:val="0"/>
          <w:numId w:val="4"/>
        </w:numPr>
        <w:spacing w:after="0"/>
        <w:rPr>
          <w:rFonts w:asciiTheme="majorHAnsi" w:hAnsiTheme="majorHAnsi"/>
        </w:rPr>
      </w:pPr>
      <w:r>
        <w:rPr>
          <w:rFonts w:asciiTheme="majorHAnsi" w:hAnsiTheme="majorHAnsi"/>
        </w:rPr>
        <w:t xml:space="preserve">70% of dogs had changes in caudal border of CTM before discharge, whereas only 26% had changes in </w:t>
      </w:r>
      <w:proofErr w:type="spellStart"/>
      <w:r>
        <w:rPr>
          <w:rFonts w:asciiTheme="majorHAnsi" w:hAnsiTheme="majorHAnsi"/>
        </w:rPr>
        <w:t>nociception</w:t>
      </w:r>
      <w:proofErr w:type="spellEnd"/>
    </w:p>
    <w:p w:rsidR="00A255AE" w:rsidRDefault="00A255AE" w:rsidP="00A255AE">
      <w:pPr>
        <w:pStyle w:val="ListParagraph"/>
        <w:numPr>
          <w:ilvl w:val="0"/>
          <w:numId w:val="4"/>
        </w:numPr>
        <w:spacing w:after="0"/>
        <w:rPr>
          <w:rFonts w:asciiTheme="majorHAnsi" w:hAnsiTheme="majorHAnsi"/>
        </w:rPr>
      </w:pPr>
      <w:r>
        <w:rPr>
          <w:rFonts w:asciiTheme="majorHAnsi" w:hAnsiTheme="majorHAnsi"/>
        </w:rPr>
        <w:t xml:space="preserve">Dogs with cranial movement of CTM </w:t>
      </w:r>
      <w:proofErr w:type="spellStart"/>
      <w:r>
        <w:rPr>
          <w:rFonts w:asciiTheme="majorHAnsi" w:hAnsiTheme="majorHAnsi"/>
        </w:rPr>
        <w:t>refelx</w:t>
      </w:r>
      <w:proofErr w:type="spellEnd"/>
      <w:r>
        <w:rPr>
          <w:rFonts w:asciiTheme="majorHAnsi" w:hAnsiTheme="majorHAnsi"/>
        </w:rPr>
        <w:t xml:space="preserve"> were 145 times more likely to develop ascending </w:t>
      </w:r>
      <w:proofErr w:type="spellStart"/>
      <w:r>
        <w:rPr>
          <w:rFonts w:asciiTheme="majorHAnsi" w:hAnsiTheme="majorHAnsi"/>
        </w:rPr>
        <w:t>myelomalacia</w:t>
      </w:r>
      <w:proofErr w:type="spellEnd"/>
    </w:p>
    <w:p w:rsidR="00421624" w:rsidRDefault="00A255AE" w:rsidP="00A255AE">
      <w:pPr>
        <w:pStyle w:val="ListParagraph"/>
        <w:numPr>
          <w:ilvl w:val="0"/>
          <w:numId w:val="4"/>
        </w:numPr>
        <w:spacing w:after="0"/>
        <w:rPr>
          <w:rFonts w:asciiTheme="majorHAnsi" w:hAnsiTheme="majorHAnsi"/>
        </w:rPr>
      </w:pPr>
      <w:r>
        <w:rPr>
          <w:rFonts w:asciiTheme="majorHAnsi" w:hAnsiTheme="majorHAnsi"/>
        </w:rPr>
        <w:t xml:space="preserve">Dogs  with caudal movement of CTM </w:t>
      </w:r>
      <w:proofErr w:type="spellStart"/>
      <w:r>
        <w:rPr>
          <w:rFonts w:asciiTheme="majorHAnsi" w:hAnsiTheme="majorHAnsi"/>
        </w:rPr>
        <w:t>refelx</w:t>
      </w:r>
      <w:proofErr w:type="spellEnd"/>
      <w:r>
        <w:rPr>
          <w:rFonts w:asciiTheme="majorHAnsi" w:hAnsiTheme="majorHAnsi"/>
        </w:rPr>
        <w:t xml:space="preserve"> - none developed </w:t>
      </w:r>
      <w:proofErr w:type="spellStart"/>
      <w:r>
        <w:rPr>
          <w:rFonts w:asciiTheme="majorHAnsi" w:hAnsiTheme="majorHAnsi"/>
        </w:rPr>
        <w:t>myelomalacia</w:t>
      </w:r>
      <w:proofErr w:type="spellEnd"/>
      <w:r>
        <w:rPr>
          <w:rFonts w:asciiTheme="majorHAnsi" w:hAnsiTheme="majorHAnsi"/>
        </w:rPr>
        <w:t xml:space="preserve">, 10 times more likely to have clinical improvement </w:t>
      </w:r>
      <w:r w:rsidR="00421624">
        <w:rPr>
          <w:rFonts w:asciiTheme="majorHAnsi" w:hAnsiTheme="majorHAnsi"/>
        </w:rPr>
        <w:t xml:space="preserve">(some pelvic limb motor function) </w:t>
      </w:r>
      <w:r>
        <w:rPr>
          <w:rFonts w:asciiTheme="majorHAnsi" w:hAnsiTheme="majorHAnsi"/>
        </w:rPr>
        <w:t>by 12-20 weeks</w:t>
      </w:r>
      <w:r w:rsidR="00421624">
        <w:rPr>
          <w:rFonts w:asciiTheme="majorHAnsi" w:hAnsiTheme="majorHAnsi"/>
        </w:rPr>
        <w:t>, but was not necessarily associated with successful recovery of ambulation</w:t>
      </w:r>
    </w:p>
    <w:p w:rsidR="00421624" w:rsidRDefault="00421624" w:rsidP="00A255AE">
      <w:pPr>
        <w:pStyle w:val="ListParagraph"/>
        <w:numPr>
          <w:ilvl w:val="0"/>
          <w:numId w:val="4"/>
        </w:numPr>
        <w:spacing w:after="0"/>
        <w:rPr>
          <w:rFonts w:asciiTheme="majorHAnsi" w:hAnsiTheme="majorHAnsi"/>
        </w:rPr>
      </w:pPr>
      <w:r>
        <w:rPr>
          <w:rFonts w:asciiTheme="majorHAnsi" w:hAnsiTheme="majorHAnsi"/>
        </w:rPr>
        <w:t xml:space="preserve">Recovery of </w:t>
      </w:r>
      <w:proofErr w:type="spellStart"/>
      <w:r>
        <w:rPr>
          <w:rFonts w:asciiTheme="majorHAnsi" w:hAnsiTheme="majorHAnsi"/>
        </w:rPr>
        <w:t>nociception</w:t>
      </w:r>
      <w:proofErr w:type="spellEnd"/>
      <w:r>
        <w:rPr>
          <w:rFonts w:asciiTheme="majorHAnsi" w:hAnsiTheme="majorHAnsi"/>
        </w:rPr>
        <w:t xml:space="preserve"> was strongly associated with recovery of ambulation</w:t>
      </w:r>
    </w:p>
    <w:p w:rsidR="00421624" w:rsidRDefault="00421624" w:rsidP="00A255AE">
      <w:pPr>
        <w:pStyle w:val="ListParagraph"/>
        <w:numPr>
          <w:ilvl w:val="0"/>
          <w:numId w:val="4"/>
        </w:numPr>
        <w:spacing w:after="0"/>
        <w:rPr>
          <w:rFonts w:asciiTheme="majorHAnsi" w:hAnsiTheme="majorHAnsi"/>
        </w:rPr>
      </w:pPr>
      <w:r>
        <w:rPr>
          <w:rFonts w:asciiTheme="majorHAnsi" w:hAnsiTheme="majorHAnsi"/>
        </w:rPr>
        <w:t xml:space="preserve">16% of dogs developed ascending/descending </w:t>
      </w:r>
      <w:proofErr w:type="spellStart"/>
      <w:r>
        <w:rPr>
          <w:rFonts w:asciiTheme="majorHAnsi" w:hAnsiTheme="majorHAnsi"/>
        </w:rPr>
        <w:t>myelomalacia</w:t>
      </w:r>
      <w:proofErr w:type="spellEnd"/>
    </w:p>
    <w:p w:rsidR="00A255AE" w:rsidRPr="00421624" w:rsidRDefault="00421624" w:rsidP="00421624">
      <w:pPr>
        <w:spacing w:after="0"/>
        <w:rPr>
          <w:rFonts w:asciiTheme="majorHAnsi" w:hAnsiTheme="majorHAnsi"/>
        </w:rPr>
      </w:pPr>
      <w:r w:rsidRPr="00421624">
        <w:rPr>
          <w:rFonts w:asciiTheme="majorHAnsi" w:hAnsiTheme="majorHAnsi"/>
        </w:rPr>
        <w:t xml:space="preserve"> </w:t>
      </w:r>
    </w:p>
    <w:sectPr w:rsidR="00A255AE" w:rsidRPr="00421624" w:rsidSect="003371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C2EB8"/>
    <w:multiLevelType w:val="hybridMultilevel"/>
    <w:tmpl w:val="210AE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B0758C"/>
    <w:multiLevelType w:val="hybridMultilevel"/>
    <w:tmpl w:val="B662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A07213"/>
    <w:multiLevelType w:val="hybridMultilevel"/>
    <w:tmpl w:val="47388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A57102"/>
    <w:multiLevelType w:val="hybridMultilevel"/>
    <w:tmpl w:val="8760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B4DB3"/>
    <w:rsid w:val="003371EF"/>
    <w:rsid w:val="00421624"/>
    <w:rsid w:val="004470A5"/>
    <w:rsid w:val="005577EA"/>
    <w:rsid w:val="00657C29"/>
    <w:rsid w:val="006A5FB0"/>
    <w:rsid w:val="009B4DB3"/>
    <w:rsid w:val="00A255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1EF"/>
  </w:style>
  <w:style w:type="paragraph" w:styleId="Heading3">
    <w:name w:val="heading 3"/>
    <w:basedOn w:val="Normal"/>
    <w:link w:val="Heading3Char"/>
    <w:uiPriority w:val="9"/>
    <w:qFormat/>
    <w:rsid w:val="009B4D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255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4DB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B4DB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B4DB3"/>
    <w:rPr>
      <w:color w:val="0000FF"/>
      <w:u w:val="single"/>
    </w:rPr>
  </w:style>
  <w:style w:type="paragraph" w:styleId="ListParagraph">
    <w:name w:val="List Paragraph"/>
    <w:basedOn w:val="Normal"/>
    <w:uiPriority w:val="34"/>
    <w:qFormat/>
    <w:rsid w:val="009B4DB3"/>
    <w:pPr>
      <w:ind w:left="720"/>
      <w:contextualSpacing/>
    </w:pPr>
  </w:style>
  <w:style w:type="character" w:customStyle="1" w:styleId="Heading4Char">
    <w:name w:val="Heading 4 Char"/>
    <w:basedOn w:val="DefaultParagraphFont"/>
    <w:link w:val="Heading4"/>
    <w:uiPriority w:val="9"/>
    <w:semiHidden/>
    <w:rsid w:val="00A255AE"/>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A255AE"/>
    <w:rPr>
      <w:i/>
      <w:iCs/>
    </w:rPr>
  </w:style>
</w:styles>
</file>

<file path=word/webSettings.xml><?xml version="1.0" encoding="utf-8"?>
<w:webSettings xmlns:r="http://schemas.openxmlformats.org/officeDocument/2006/relationships" xmlns:w="http://schemas.openxmlformats.org/wordprocessingml/2006/main">
  <w:divs>
    <w:div w:id="308292346">
      <w:bodyDiv w:val="1"/>
      <w:marLeft w:val="0"/>
      <w:marRight w:val="0"/>
      <w:marTop w:val="0"/>
      <w:marBottom w:val="0"/>
      <w:divBdr>
        <w:top w:val="none" w:sz="0" w:space="0" w:color="auto"/>
        <w:left w:val="none" w:sz="0" w:space="0" w:color="auto"/>
        <w:bottom w:val="none" w:sz="0" w:space="0" w:color="auto"/>
        <w:right w:val="none" w:sz="0" w:space="0" w:color="auto"/>
      </w:divBdr>
      <w:divsChild>
        <w:div w:id="719086292">
          <w:marLeft w:val="0"/>
          <w:marRight w:val="0"/>
          <w:marTop w:val="0"/>
          <w:marBottom w:val="0"/>
          <w:divBdr>
            <w:top w:val="none" w:sz="0" w:space="0" w:color="auto"/>
            <w:left w:val="none" w:sz="0" w:space="0" w:color="auto"/>
            <w:bottom w:val="none" w:sz="0" w:space="0" w:color="auto"/>
            <w:right w:val="none" w:sz="0" w:space="0" w:color="auto"/>
          </w:divBdr>
          <w:divsChild>
            <w:div w:id="1265529361">
              <w:marLeft w:val="0"/>
              <w:marRight w:val="0"/>
              <w:marTop w:val="0"/>
              <w:marBottom w:val="0"/>
              <w:divBdr>
                <w:top w:val="none" w:sz="0" w:space="0" w:color="auto"/>
                <w:left w:val="none" w:sz="0" w:space="0" w:color="auto"/>
                <w:bottom w:val="none" w:sz="0" w:space="0" w:color="auto"/>
                <w:right w:val="none" w:sz="0" w:space="0" w:color="auto"/>
              </w:divBdr>
              <w:divsChild>
                <w:div w:id="656347799">
                  <w:marLeft w:val="0"/>
                  <w:marRight w:val="0"/>
                  <w:marTop w:val="0"/>
                  <w:marBottom w:val="0"/>
                  <w:divBdr>
                    <w:top w:val="none" w:sz="0" w:space="0" w:color="auto"/>
                    <w:left w:val="none" w:sz="0" w:space="0" w:color="auto"/>
                    <w:bottom w:val="none" w:sz="0" w:space="0" w:color="auto"/>
                    <w:right w:val="none" w:sz="0" w:space="0" w:color="auto"/>
                  </w:divBdr>
                  <w:divsChild>
                    <w:div w:id="1529028574">
                      <w:marLeft w:val="0"/>
                      <w:marRight w:val="0"/>
                      <w:marTop w:val="0"/>
                      <w:marBottom w:val="0"/>
                      <w:divBdr>
                        <w:top w:val="none" w:sz="0" w:space="0" w:color="auto"/>
                        <w:left w:val="none" w:sz="0" w:space="0" w:color="auto"/>
                        <w:bottom w:val="none" w:sz="0" w:space="0" w:color="auto"/>
                        <w:right w:val="none" w:sz="0" w:space="0" w:color="auto"/>
                      </w:divBdr>
                      <w:divsChild>
                        <w:div w:id="881793802">
                          <w:marLeft w:val="0"/>
                          <w:marRight w:val="0"/>
                          <w:marTop w:val="0"/>
                          <w:marBottom w:val="0"/>
                          <w:divBdr>
                            <w:top w:val="none" w:sz="0" w:space="0" w:color="auto"/>
                            <w:left w:val="none" w:sz="0" w:space="0" w:color="auto"/>
                            <w:bottom w:val="none" w:sz="0" w:space="0" w:color="auto"/>
                            <w:right w:val="none" w:sz="0" w:space="0" w:color="auto"/>
                          </w:divBdr>
                          <w:divsChild>
                            <w:div w:id="2141413945">
                              <w:marLeft w:val="0"/>
                              <w:marRight w:val="0"/>
                              <w:marTop w:val="0"/>
                              <w:marBottom w:val="0"/>
                              <w:divBdr>
                                <w:top w:val="none" w:sz="0" w:space="0" w:color="auto"/>
                                <w:left w:val="none" w:sz="0" w:space="0" w:color="auto"/>
                                <w:bottom w:val="none" w:sz="0" w:space="0" w:color="auto"/>
                                <w:right w:val="none" w:sz="0" w:space="0" w:color="auto"/>
                              </w:divBdr>
                            </w:div>
                            <w:div w:id="1535382037">
                              <w:marLeft w:val="0"/>
                              <w:marRight w:val="0"/>
                              <w:marTop w:val="0"/>
                              <w:marBottom w:val="0"/>
                              <w:divBdr>
                                <w:top w:val="none" w:sz="0" w:space="0" w:color="auto"/>
                                <w:left w:val="none" w:sz="0" w:space="0" w:color="auto"/>
                                <w:bottom w:val="none" w:sz="0" w:space="0" w:color="auto"/>
                                <w:right w:val="none" w:sz="0" w:space="0" w:color="auto"/>
                              </w:divBdr>
                            </w:div>
                            <w:div w:id="768309572">
                              <w:marLeft w:val="0"/>
                              <w:marRight w:val="0"/>
                              <w:marTop w:val="0"/>
                              <w:marBottom w:val="0"/>
                              <w:divBdr>
                                <w:top w:val="none" w:sz="0" w:space="0" w:color="auto"/>
                                <w:left w:val="none" w:sz="0" w:space="0" w:color="auto"/>
                                <w:bottom w:val="none" w:sz="0" w:space="0" w:color="auto"/>
                                <w:right w:val="none" w:sz="0" w:space="0" w:color="auto"/>
                              </w:divBdr>
                            </w:div>
                            <w:div w:id="105573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716848">
      <w:bodyDiv w:val="1"/>
      <w:marLeft w:val="0"/>
      <w:marRight w:val="0"/>
      <w:marTop w:val="0"/>
      <w:marBottom w:val="0"/>
      <w:divBdr>
        <w:top w:val="none" w:sz="0" w:space="0" w:color="auto"/>
        <w:left w:val="none" w:sz="0" w:space="0" w:color="auto"/>
        <w:bottom w:val="none" w:sz="0" w:space="0" w:color="auto"/>
        <w:right w:val="none" w:sz="0" w:space="0" w:color="auto"/>
      </w:divBdr>
      <w:divsChild>
        <w:div w:id="688021288">
          <w:marLeft w:val="0"/>
          <w:marRight w:val="0"/>
          <w:marTop w:val="0"/>
          <w:marBottom w:val="0"/>
          <w:divBdr>
            <w:top w:val="none" w:sz="0" w:space="0" w:color="auto"/>
            <w:left w:val="none" w:sz="0" w:space="0" w:color="auto"/>
            <w:bottom w:val="none" w:sz="0" w:space="0" w:color="auto"/>
            <w:right w:val="none" w:sz="0" w:space="0" w:color="auto"/>
          </w:divBdr>
          <w:divsChild>
            <w:div w:id="661813461">
              <w:marLeft w:val="0"/>
              <w:marRight w:val="0"/>
              <w:marTop w:val="0"/>
              <w:marBottom w:val="0"/>
              <w:divBdr>
                <w:top w:val="none" w:sz="0" w:space="0" w:color="auto"/>
                <w:left w:val="none" w:sz="0" w:space="0" w:color="auto"/>
                <w:bottom w:val="none" w:sz="0" w:space="0" w:color="auto"/>
                <w:right w:val="none" w:sz="0" w:space="0" w:color="auto"/>
              </w:divBdr>
              <w:divsChild>
                <w:div w:id="1511599602">
                  <w:marLeft w:val="0"/>
                  <w:marRight w:val="0"/>
                  <w:marTop w:val="0"/>
                  <w:marBottom w:val="0"/>
                  <w:divBdr>
                    <w:top w:val="none" w:sz="0" w:space="0" w:color="auto"/>
                    <w:left w:val="none" w:sz="0" w:space="0" w:color="auto"/>
                    <w:bottom w:val="none" w:sz="0" w:space="0" w:color="auto"/>
                    <w:right w:val="none" w:sz="0" w:space="0" w:color="auto"/>
                  </w:divBdr>
                  <w:divsChild>
                    <w:div w:id="452138371">
                      <w:marLeft w:val="0"/>
                      <w:marRight w:val="0"/>
                      <w:marTop w:val="0"/>
                      <w:marBottom w:val="0"/>
                      <w:divBdr>
                        <w:top w:val="none" w:sz="0" w:space="0" w:color="auto"/>
                        <w:left w:val="none" w:sz="0" w:space="0" w:color="auto"/>
                        <w:bottom w:val="none" w:sz="0" w:space="0" w:color="auto"/>
                        <w:right w:val="none" w:sz="0" w:space="0" w:color="auto"/>
                      </w:divBdr>
                      <w:divsChild>
                        <w:div w:id="1249314624">
                          <w:marLeft w:val="0"/>
                          <w:marRight w:val="0"/>
                          <w:marTop w:val="0"/>
                          <w:marBottom w:val="0"/>
                          <w:divBdr>
                            <w:top w:val="none" w:sz="0" w:space="0" w:color="auto"/>
                            <w:left w:val="none" w:sz="0" w:space="0" w:color="auto"/>
                            <w:bottom w:val="none" w:sz="0" w:space="0" w:color="auto"/>
                            <w:right w:val="none" w:sz="0" w:space="0" w:color="auto"/>
                          </w:divBdr>
                          <w:divsChild>
                            <w:div w:id="1340349924">
                              <w:marLeft w:val="0"/>
                              <w:marRight w:val="0"/>
                              <w:marTop w:val="0"/>
                              <w:marBottom w:val="0"/>
                              <w:divBdr>
                                <w:top w:val="none" w:sz="0" w:space="0" w:color="auto"/>
                                <w:left w:val="none" w:sz="0" w:space="0" w:color="auto"/>
                                <w:bottom w:val="none" w:sz="0" w:space="0" w:color="auto"/>
                                <w:right w:val="none" w:sz="0" w:space="0" w:color="auto"/>
                              </w:divBdr>
                              <w:divsChild>
                                <w:div w:id="667827362">
                                  <w:marLeft w:val="0"/>
                                  <w:marRight w:val="0"/>
                                  <w:marTop w:val="0"/>
                                  <w:marBottom w:val="0"/>
                                  <w:divBdr>
                                    <w:top w:val="none" w:sz="0" w:space="0" w:color="auto"/>
                                    <w:left w:val="none" w:sz="0" w:space="0" w:color="auto"/>
                                    <w:bottom w:val="none" w:sz="0" w:space="0" w:color="auto"/>
                                    <w:right w:val="none" w:sz="0" w:space="0" w:color="auto"/>
                                  </w:divBdr>
                                  <w:divsChild>
                                    <w:div w:id="1480227025">
                                      <w:marLeft w:val="0"/>
                                      <w:marRight w:val="0"/>
                                      <w:marTop w:val="0"/>
                                      <w:marBottom w:val="0"/>
                                      <w:divBdr>
                                        <w:top w:val="none" w:sz="0" w:space="0" w:color="auto"/>
                                        <w:left w:val="none" w:sz="0" w:space="0" w:color="auto"/>
                                        <w:bottom w:val="none" w:sz="0" w:space="0" w:color="auto"/>
                                        <w:right w:val="none" w:sz="0" w:space="0" w:color="auto"/>
                                      </w:divBdr>
                                    </w:div>
                                  </w:divsChild>
                                </w:div>
                                <w:div w:id="1430736245">
                                  <w:marLeft w:val="0"/>
                                  <w:marRight w:val="0"/>
                                  <w:marTop w:val="0"/>
                                  <w:marBottom w:val="0"/>
                                  <w:divBdr>
                                    <w:top w:val="none" w:sz="0" w:space="0" w:color="auto"/>
                                    <w:left w:val="none" w:sz="0" w:space="0" w:color="auto"/>
                                    <w:bottom w:val="none" w:sz="0" w:space="0" w:color="auto"/>
                                    <w:right w:val="none" w:sz="0" w:space="0" w:color="auto"/>
                                  </w:divBdr>
                                  <w:divsChild>
                                    <w:div w:id="1056657956">
                                      <w:marLeft w:val="0"/>
                                      <w:marRight w:val="0"/>
                                      <w:marTop w:val="0"/>
                                      <w:marBottom w:val="0"/>
                                      <w:divBdr>
                                        <w:top w:val="none" w:sz="0" w:space="0" w:color="auto"/>
                                        <w:left w:val="none" w:sz="0" w:space="0" w:color="auto"/>
                                        <w:bottom w:val="none" w:sz="0" w:space="0" w:color="auto"/>
                                        <w:right w:val="none" w:sz="0" w:space="0" w:color="auto"/>
                                      </w:divBdr>
                                    </w:div>
                                  </w:divsChild>
                                </w:div>
                                <w:div w:id="1453937916">
                                  <w:marLeft w:val="0"/>
                                  <w:marRight w:val="0"/>
                                  <w:marTop w:val="0"/>
                                  <w:marBottom w:val="0"/>
                                  <w:divBdr>
                                    <w:top w:val="none" w:sz="0" w:space="0" w:color="auto"/>
                                    <w:left w:val="none" w:sz="0" w:space="0" w:color="auto"/>
                                    <w:bottom w:val="none" w:sz="0" w:space="0" w:color="auto"/>
                                    <w:right w:val="none" w:sz="0" w:space="0" w:color="auto"/>
                                  </w:divBdr>
                                  <w:divsChild>
                                    <w:div w:id="443695010">
                                      <w:marLeft w:val="0"/>
                                      <w:marRight w:val="0"/>
                                      <w:marTop w:val="0"/>
                                      <w:marBottom w:val="0"/>
                                      <w:divBdr>
                                        <w:top w:val="none" w:sz="0" w:space="0" w:color="auto"/>
                                        <w:left w:val="none" w:sz="0" w:space="0" w:color="auto"/>
                                        <w:bottom w:val="none" w:sz="0" w:space="0" w:color="auto"/>
                                        <w:right w:val="none" w:sz="0" w:space="0" w:color="auto"/>
                                      </w:divBdr>
                                    </w:div>
                                  </w:divsChild>
                                </w:div>
                                <w:div w:id="1289894421">
                                  <w:marLeft w:val="0"/>
                                  <w:marRight w:val="0"/>
                                  <w:marTop w:val="0"/>
                                  <w:marBottom w:val="0"/>
                                  <w:divBdr>
                                    <w:top w:val="none" w:sz="0" w:space="0" w:color="auto"/>
                                    <w:left w:val="none" w:sz="0" w:space="0" w:color="auto"/>
                                    <w:bottom w:val="none" w:sz="0" w:space="0" w:color="auto"/>
                                    <w:right w:val="none" w:sz="0" w:space="0" w:color="auto"/>
                                  </w:divBdr>
                                  <w:divsChild>
                                    <w:div w:id="1840273029">
                                      <w:marLeft w:val="0"/>
                                      <w:marRight w:val="0"/>
                                      <w:marTop w:val="0"/>
                                      <w:marBottom w:val="0"/>
                                      <w:divBdr>
                                        <w:top w:val="none" w:sz="0" w:space="0" w:color="auto"/>
                                        <w:left w:val="none" w:sz="0" w:space="0" w:color="auto"/>
                                        <w:bottom w:val="none" w:sz="0" w:space="0" w:color="auto"/>
                                        <w:right w:val="none" w:sz="0" w:space="0" w:color="auto"/>
                                      </w:divBdr>
                                    </w:div>
                                  </w:divsChild>
                                </w:div>
                                <w:div w:id="1190415038">
                                  <w:marLeft w:val="0"/>
                                  <w:marRight w:val="0"/>
                                  <w:marTop w:val="0"/>
                                  <w:marBottom w:val="0"/>
                                  <w:divBdr>
                                    <w:top w:val="none" w:sz="0" w:space="0" w:color="auto"/>
                                    <w:left w:val="none" w:sz="0" w:space="0" w:color="auto"/>
                                    <w:bottom w:val="none" w:sz="0" w:space="0" w:color="auto"/>
                                    <w:right w:val="none" w:sz="0" w:space="0" w:color="auto"/>
                                  </w:divBdr>
                                  <w:divsChild>
                                    <w:div w:id="1448886201">
                                      <w:marLeft w:val="0"/>
                                      <w:marRight w:val="0"/>
                                      <w:marTop w:val="0"/>
                                      <w:marBottom w:val="0"/>
                                      <w:divBdr>
                                        <w:top w:val="none" w:sz="0" w:space="0" w:color="auto"/>
                                        <w:left w:val="none" w:sz="0" w:space="0" w:color="auto"/>
                                        <w:bottom w:val="none" w:sz="0" w:space="0" w:color="auto"/>
                                        <w:right w:val="none" w:sz="0" w:space="0" w:color="auto"/>
                                      </w:divBdr>
                                    </w:div>
                                  </w:divsChild>
                                </w:div>
                                <w:div w:id="435831331">
                                  <w:marLeft w:val="0"/>
                                  <w:marRight w:val="0"/>
                                  <w:marTop w:val="0"/>
                                  <w:marBottom w:val="0"/>
                                  <w:divBdr>
                                    <w:top w:val="none" w:sz="0" w:space="0" w:color="auto"/>
                                    <w:left w:val="none" w:sz="0" w:space="0" w:color="auto"/>
                                    <w:bottom w:val="none" w:sz="0" w:space="0" w:color="auto"/>
                                    <w:right w:val="none" w:sz="0" w:space="0" w:color="auto"/>
                                  </w:divBdr>
                                  <w:divsChild>
                                    <w:div w:id="20496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851913">
      <w:bodyDiv w:val="1"/>
      <w:marLeft w:val="0"/>
      <w:marRight w:val="0"/>
      <w:marTop w:val="0"/>
      <w:marBottom w:val="0"/>
      <w:divBdr>
        <w:top w:val="none" w:sz="0" w:space="0" w:color="auto"/>
        <w:left w:val="none" w:sz="0" w:space="0" w:color="auto"/>
        <w:bottom w:val="none" w:sz="0" w:space="0" w:color="auto"/>
        <w:right w:val="none" w:sz="0" w:space="0" w:color="auto"/>
      </w:divBdr>
      <w:divsChild>
        <w:div w:id="2008512432">
          <w:marLeft w:val="0"/>
          <w:marRight w:val="0"/>
          <w:marTop w:val="0"/>
          <w:marBottom w:val="0"/>
          <w:divBdr>
            <w:top w:val="none" w:sz="0" w:space="0" w:color="auto"/>
            <w:left w:val="none" w:sz="0" w:space="0" w:color="auto"/>
            <w:bottom w:val="none" w:sz="0" w:space="0" w:color="auto"/>
            <w:right w:val="none" w:sz="0" w:space="0" w:color="auto"/>
          </w:divBdr>
          <w:divsChild>
            <w:div w:id="58941233">
              <w:marLeft w:val="0"/>
              <w:marRight w:val="0"/>
              <w:marTop w:val="0"/>
              <w:marBottom w:val="0"/>
              <w:divBdr>
                <w:top w:val="none" w:sz="0" w:space="0" w:color="auto"/>
                <w:left w:val="none" w:sz="0" w:space="0" w:color="auto"/>
                <w:bottom w:val="none" w:sz="0" w:space="0" w:color="auto"/>
                <w:right w:val="none" w:sz="0" w:space="0" w:color="auto"/>
              </w:divBdr>
              <w:divsChild>
                <w:div w:id="2048672753">
                  <w:marLeft w:val="0"/>
                  <w:marRight w:val="0"/>
                  <w:marTop w:val="0"/>
                  <w:marBottom w:val="0"/>
                  <w:divBdr>
                    <w:top w:val="none" w:sz="0" w:space="0" w:color="auto"/>
                    <w:left w:val="none" w:sz="0" w:space="0" w:color="auto"/>
                    <w:bottom w:val="none" w:sz="0" w:space="0" w:color="auto"/>
                    <w:right w:val="none" w:sz="0" w:space="0" w:color="auto"/>
                  </w:divBdr>
                  <w:divsChild>
                    <w:div w:id="875851320">
                      <w:marLeft w:val="0"/>
                      <w:marRight w:val="0"/>
                      <w:marTop w:val="0"/>
                      <w:marBottom w:val="0"/>
                      <w:divBdr>
                        <w:top w:val="none" w:sz="0" w:space="0" w:color="auto"/>
                        <w:left w:val="none" w:sz="0" w:space="0" w:color="auto"/>
                        <w:bottom w:val="none" w:sz="0" w:space="0" w:color="auto"/>
                        <w:right w:val="none" w:sz="0" w:space="0" w:color="auto"/>
                      </w:divBdr>
                      <w:divsChild>
                        <w:div w:id="1743067846">
                          <w:marLeft w:val="0"/>
                          <w:marRight w:val="0"/>
                          <w:marTop w:val="0"/>
                          <w:marBottom w:val="0"/>
                          <w:divBdr>
                            <w:top w:val="none" w:sz="0" w:space="0" w:color="auto"/>
                            <w:left w:val="none" w:sz="0" w:space="0" w:color="auto"/>
                            <w:bottom w:val="none" w:sz="0" w:space="0" w:color="auto"/>
                            <w:right w:val="none" w:sz="0" w:space="0" w:color="auto"/>
                          </w:divBdr>
                          <w:divsChild>
                            <w:div w:id="1551307766">
                              <w:marLeft w:val="0"/>
                              <w:marRight w:val="0"/>
                              <w:marTop w:val="0"/>
                              <w:marBottom w:val="0"/>
                              <w:divBdr>
                                <w:top w:val="none" w:sz="0" w:space="0" w:color="auto"/>
                                <w:left w:val="none" w:sz="0" w:space="0" w:color="auto"/>
                                <w:bottom w:val="none" w:sz="0" w:space="0" w:color="auto"/>
                                <w:right w:val="none" w:sz="0" w:space="0" w:color="auto"/>
                              </w:divBdr>
                            </w:div>
                            <w:div w:id="1665468880">
                              <w:marLeft w:val="0"/>
                              <w:marRight w:val="0"/>
                              <w:marTop w:val="0"/>
                              <w:marBottom w:val="0"/>
                              <w:divBdr>
                                <w:top w:val="none" w:sz="0" w:space="0" w:color="auto"/>
                                <w:left w:val="none" w:sz="0" w:space="0" w:color="auto"/>
                                <w:bottom w:val="none" w:sz="0" w:space="0" w:color="auto"/>
                                <w:right w:val="none" w:sz="0" w:space="0" w:color="auto"/>
                              </w:divBdr>
                            </w:div>
                            <w:div w:id="2139906596">
                              <w:marLeft w:val="0"/>
                              <w:marRight w:val="0"/>
                              <w:marTop w:val="0"/>
                              <w:marBottom w:val="0"/>
                              <w:divBdr>
                                <w:top w:val="none" w:sz="0" w:space="0" w:color="auto"/>
                                <w:left w:val="none" w:sz="0" w:space="0" w:color="auto"/>
                                <w:bottom w:val="none" w:sz="0" w:space="0" w:color="auto"/>
                                <w:right w:val="none" w:sz="0" w:space="0" w:color="auto"/>
                              </w:divBdr>
                            </w:div>
                            <w:div w:id="7487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linicaltrials.gov/show/NCT0097094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linicaltrials.gov/show/NCT0080914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F3DCA-2E9C-41F7-A8E9-129792725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Blong</dc:creator>
  <cp:lastModifiedBy>Christopher Blong</cp:lastModifiedBy>
  <cp:revision>2</cp:revision>
  <dcterms:created xsi:type="dcterms:W3CDTF">2012-03-08T15:14:00Z</dcterms:created>
  <dcterms:modified xsi:type="dcterms:W3CDTF">2012-03-08T15:47:00Z</dcterms:modified>
</cp:coreProperties>
</file>