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43" w:rsidRPr="009A2A7D" w:rsidRDefault="00436D43">
      <w:pPr>
        <w:rPr>
          <w:color w:val="0A0905"/>
          <w:sz w:val="20"/>
          <w:szCs w:val="20"/>
        </w:rPr>
      </w:pPr>
      <w:proofErr w:type="gramStart"/>
      <w:r w:rsidRPr="009A2A7D">
        <w:rPr>
          <w:color w:val="0A0905"/>
          <w:sz w:val="20"/>
          <w:szCs w:val="20"/>
        </w:rPr>
        <w:t xml:space="preserve">Critical Care Medicine 2011 </w:t>
      </w:r>
      <w:proofErr w:type="spellStart"/>
      <w:r w:rsidRPr="009A2A7D">
        <w:rPr>
          <w:color w:val="0A0905"/>
          <w:sz w:val="20"/>
          <w:szCs w:val="20"/>
        </w:rPr>
        <w:t>Vol</w:t>
      </w:r>
      <w:proofErr w:type="spellEnd"/>
      <w:r w:rsidRPr="009A2A7D">
        <w:rPr>
          <w:color w:val="0A0905"/>
          <w:sz w:val="20"/>
          <w:szCs w:val="20"/>
        </w:rPr>
        <w:t xml:space="preserve"> 39, No 11, p2526-33.</w:t>
      </w:r>
      <w:proofErr w:type="gramEnd"/>
      <w:r w:rsidRPr="009A2A7D">
        <w:rPr>
          <w:color w:val="0A0905"/>
          <w:sz w:val="20"/>
          <w:szCs w:val="20"/>
        </w:rPr>
        <w:t xml:space="preserve"> (November)</w:t>
      </w:r>
    </w:p>
    <w:p w:rsidR="00436D43" w:rsidRPr="009A2A7D" w:rsidRDefault="00436D43">
      <w:pPr>
        <w:rPr>
          <w:color w:val="0A0905"/>
          <w:sz w:val="20"/>
          <w:szCs w:val="20"/>
        </w:rPr>
      </w:pPr>
      <w:proofErr w:type="spellStart"/>
      <w:r w:rsidRPr="009A2A7D">
        <w:rPr>
          <w:color w:val="0A0905"/>
          <w:sz w:val="20"/>
          <w:szCs w:val="20"/>
        </w:rPr>
        <w:t>Flavia</w:t>
      </w:r>
      <w:proofErr w:type="spellEnd"/>
      <w:r w:rsidRPr="009A2A7D">
        <w:rPr>
          <w:color w:val="0A0905"/>
          <w:sz w:val="20"/>
          <w:szCs w:val="20"/>
        </w:rPr>
        <w:t xml:space="preserve"> K </w:t>
      </w:r>
      <w:proofErr w:type="spellStart"/>
      <w:r w:rsidRPr="009A2A7D">
        <w:rPr>
          <w:color w:val="0A0905"/>
          <w:sz w:val="20"/>
          <w:szCs w:val="20"/>
        </w:rPr>
        <w:t>Foronda</w:t>
      </w:r>
      <w:proofErr w:type="spellEnd"/>
      <w:r w:rsidRPr="009A2A7D">
        <w:rPr>
          <w:color w:val="0A0905"/>
          <w:sz w:val="20"/>
          <w:szCs w:val="20"/>
        </w:rPr>
        <w:t xml:space="preserve"> et al.</w:t>
      </w:r>
    </w:p>
    <w:p w:rsidR="00436D43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>The impact of daily evaluation and spontaneous breathing test on the duration of mechanical ventilation: A randomized controlled trial</w:t>
      </w:r>
    </w:p>
    <w:p w:rsidR="00E81858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Objectives: To assess whether the combination of daily evaluation and use of a spontaneous breathing test </w:t>
      </w:r>
      <w:r w:rsidR="00384C8E" w:rsidRPr="009A2A7D">
        <w:rPr>
          <w:color w:val="0A0905"/>
          <w:sz w:val="20"/>
          <w:szCs w:val="20"/>
        </w:rPr>
        <w:t xml:space="preserve">(SBT) </w:t>
      </w:r>
      <w:r w:rsidRPr="009A2A7D">
        <w:rPr>
          <w:color w:val="0A0905"/>
          <w:sz w:val="20"/>
          <w:szCs w:val="20"/>
        </w:rPr>
        <w:t xml:space="preserve">could shorten the duration of mechanical ventilation as compared with weaning based on our standard of care. Secondary outcome measures included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  <w:r w:rsidRPr="009A2A7D">
        <w:rPr>
          <w:color w:val="0A0905"/>
          <w:sz w:val="20"/>
          <w:szCs w:val="20"/>
        </w:rPr>
        <w:t xml:space="preserve"> failure rate and the need for noninvasive ventilation. Design: A prospective, randomized controlled trial. Setting: Two pediatric intensive care units at university hospitals in Brazil. Patients: The trial involved children between 28 days and 15 yrs of age who were receiving mechanical ventilation for at least 24 hrs. Interventions: Patients were randomly assigned to one of two weaning protocols. In the test group, the children underwent a daily evaluation to check readiness for weaning with a spontaneous breathing test with 10 cm H2O pressure support and a positive end-expiratory pressure of 5 cm H2O for 2 hrs. The spontaneous breathing test was repeated the next day for children who failed it. In the control group, weaning was performed according to standard care procedures. Measurements and Main Results: A total of 294 eligible children were randomized, with 155 to the test group and 139 to the control group. The time to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  <w:r w:rsidRPr="009A2A7D">
        <w:rPr>
          <w:color w:val="0A0905"/>
          <w:sz w:val="20"/>
          <w:szCs w:val="20"/>
        </w:rPr>
        <w:t xml:space="preserve"> was shorter in the test group, where the median mechanical ventilation duration was 3.5 days (95% confidence interval, 3.0 to 4.0) as compared to 4.7 days (95% confidence interval, 4.1 to 5.3) in the control group (p = .0127). This significant reduction in the mechanical ventilation duration for the intervention group was not associated with increased rates of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  <w:r w:rsidRPr="009A2A7D">
        <w:rPr>
          <w:color w:val="0A0905"/>
          <w:sz w:val="20"/>
          <w:szCs w:val="20"/>
        </w:rPr>
        <w:t xml:space="preserve"> failure or noninvasive ventilation. It represents a 30% reduction in the risk of remaining on mechanical ventilation (hazard ratio: 0.70). Conclusions: A daily evaluation to check readiness for weaning combined with a spontaneous breathing test reduced the mechanical ventilation duration for children on mechanical ventilation for &gt;24 hrs, without increasing the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  <w:r w:rsidRPr="009A2A7D">
        <w:rPr>
          <w:color w:val="0A0905"/>
          <w:sz w:val="20"/>
          <w:szCs w:val="20"/>
        </w:rPr>
        <w:t xml:space="preserve"> failure rate or the need for noninvasive ventilation.</w:t>
      </w:r>
    </w:p>
    <w:p w:rsidR="00436D43" w:rsidRPr="009A2A7D" w:rsidRDefault="00384C8E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>Pediatric patients may be ready to come off the ventilator sooner using objective values than based on clinician’s subjective parameters</w:t>
      </w:r>
    </w:p>
    <w:p w:rsidR="00384C8E" w:rsidRPr="009A2A7D" w:rsidRDefault="00384C8E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>25% reduction in total length of ventilation</w:t>
      </w:r>
    </w:p>
    <w:p w:rsidR="00384C8E" w:rsidRPr="009A2A7D" w:rsidRDefault="00384C8E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Gradual weaning often not needed, 75% of adults are able to be </w:t>
      </w:r>
      <w:proofErr w:type="spellStart"/>
      <w:r w:rsidRPr="009A2A7D">
        <w:rPr>
          <w:color w:val="0A0905"/>
          <w:sz w:val="20"/>
          <w:szCs w:val="20"/>
        </w:rPr>
        <w:t>extubated</w:t>
      </w:r>
      <w:proofErr w:type="spellEnd"/>
      <w:r w:rsidRPr="009A2A7D">
        <w:rPr>
          <w:color w:val="0A0905"/>
          <w:sz w:val="20"/>
          <w:szCs w:val="20"/>
        </w:rPr>
        <w:t xml:space="preserve"> with daily </w:t>
      </w:r>
      <w:proofErr w:type="spellStart"/>
      <w:r w:rsidRPr="009A2A7D">
        <w:rPr>
          <w:color w:val="0A0905"/>
          <w:sz w:val="20"/>
          <w:szCs w:val="20"/>
        </w:rPr>
        <w:t>eval</w:t>
      </w:r>
      <w:proofErr w:type="spellEnd"/>
      <w:r w:rsidRPr="009A2A7D">
        <w:rPr>
          <w:color w:val="0A0905"/>
          <w:sz w:val="20"/>
          <w:szCs w:val="20"/>
        </w:rPr>
        <w:t xml:space="preserve"> and SBT</w:t>
      </w:r>
    </w:p>
    <w:p w:rsidR="00384C8E" w:rsidRPr="009A2A7D" w:rsidRDefault="00384C8E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Daily </w:t>
      </w:r>
      <w:proofErr w:type="spellStart"/>
      <w:r w:rsidRPr="009A2A7D">
        <w:rPr>
          <w:color w:val="0A0905"/>
          <w:sz w:val="20"/>
          <w:szCs w:val="20"/>
        </w:rPr>
        <w:t>eval</w:t>
      </w:r>
      <w:proofErr w:type="spellEnd"/>
      <w:r w:rsidRPr="009A2A7D">
        <w:rPr>
          <w:color w:val="0A0905"/>
          <w:sz w:val="20"/>
          <w:szCs w:val="20"/>
        </w:rPr>
        <w:t xml:space="preserve">: FiO2 &lt;.5, PEEP &lt;8 cm water, no new infiltrates on </w:t>
      </w:r>
      <w:proofErr w:type="spellStart"/>
      <w:r w:rsidRPr="009A2A7D">
        <w:rPr>
          <w:color w:val="0A0905"/>
          <w:sz w:val="20"/>
          <w:szCs w:val="20"/>
        </w:rPr>
        <w:t>rads</w:t>
      </w:r>
      <w:proofErr w:type="spellEnd"/>
      <w:r w:rsidRPr="009A2A7D">
        <w:rPr>
          <w:color w:val="0A0905"/>
          <w:sz w:val="20"/>
          <w:szCs w:val="20"/>
        </w:rPr>
        <w:t xml:space="preserve">, respiratory drive, no continuous sedation or neuromuscular blockers, </w:t>
      </w:r>
      <w:proofErr w:type="spellStart"/>
      <w:r w:rsidRPr="009A2A7D">
        <w:rPr>
          <w:color w:val="0A0905"/>
          <w:sz w:val="20"/>
          <w:szCs w:val="20"/>
        </w:rPr>
        <w:t>hemodynamically</w:t>
      </w:r>
      <w:proofErr w:type="spellEnd"/>
      <w:r w:rsidRPr="009A2A7D">
        <w:rPr>
          <w:color w:val="0A0905"/>
          <w:sz w:val="20"/>
          <w:szCs w:val="20"/>
        </w:rPr>
        <w:t xml:space="preserve"> stable with no e-</w:t>
      </w:r>
      <w:proofErr w:type="spellStart"/>
      <w:r w:rsidRPr="009A2A7D">
        <w:rPr>
          <w:color w:val="0A0905"/>
          <w:sz w:val="20"/>
          <w:szCs w:val="20"/>
        </w:rPr>
        <w:t>lyte</w:t>
      </w:r>
      <w:proofErr w:type="spellEnd"/>
      <w:r w:rsidRPr="009A2A7D">
        <w:rPr>
          <w:color w:val="0A0905"/>
          <w:sz w:val="20"/>
          <w:szCs w:val="20"/>
        </w:rPr>
        <w:t xml:space="preserve"> changes, </w:t>
      </w:r>
      <w:proofErr w:type="spellStart"/>
      <w:r w:rsidRPr="009A2A7D">
        <w:rPr>
          <w:color w:val="0A0905"/>
          <w:sz w:val="20"/>
          <w:szCs w:val="20"/>
        </w:rPr>
        <w:t>Hgb</w:t>
      </w:r>
      <w:proofErr w:type="spellEnd"/>
      <w:r w:rsidRPr="009A2A7D">
        <w:rPr>
          <w:color w:val="0A0905"/>
          <w:sz w:val="20"/>
          <w:szCs w:val="20"/>
        </w:rPr>
        <w:t xml:space="preserve"> &gt;8</w:t>
      </w:r>
    </w:p>
    <w:p w:rsidR="00F33F11" w:rsidRPr="009A2A7D" w:rsidRDefault="00F33F11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Test and control group had similar MV settings at time of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</w:p>
    <w:p w:rsidR="00384C8E" w:rsidRPr="009A2A7D" w:rsidRDefault="00384C8E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>Patients with ARDS (at beginning or acquired), AKI, &amp; VAP had longer duration of ventilation</w:t>
      </w:r>
    </w:p>
    <w:p w:rsidR="00F33F11" w:rsidRPr="009A2A7D" w:rsidRDefault="00F33F11" w:rsidP="00436D43">
      <w:pPr>
        <w:pStyle w:val="ListParagraph"/>
        <w:numPr>
          <w:ilvl w:val="0"/>
          <w:numId w:val="1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Test group trended toward less need for NIV, </w:t>
      </w:r>
      <w:proofErr w:type="spellStart"/>
      <w:r w:rsidRPr="009A2A7D">
        <w:rPr>
          <w:color w:val="0A0905"/>
          <w:sz w:val="20"/>
          <w:szCs w:val="20"/>
        </w:rPr>
        <w:t>reintubation</w:t>
      </w:r>
      <w:proofErr w:type="spellEnd"/>
      <w:r w:rsidRPr="009A2A7D">
        <w:rPr>
          <w:color w:val="0A0905"/>
          <w:sz w:val="20"/>
          <w:szCs w:val="20"/>
        </w:rPr>
        <w:t>, and VAP – but not significant</w:t>
      </w:r>
    </w:p>
    <w:p w:rsidR="00F33F11" w:rsidRPr="009A2A7D" w:rsidRDefault="00F33F11" w:rsidP="00F33F11">
      <w:pPr>
        <w:pStyle w:val="ListParagraph"/>
        <w:rPr>
          <w:color w:val="0A0905"/>
          <w:sz w:val="20"/>
          <w:szCs w:val="20"/>
        </w:rPr>
      </w:pPr>
    </w:p>
    <w:p w:rsidR="00F33F11" w:rsidRPr="009A2A7D" w:rsidRDefault="00F33F11" w:rsidP="00F33F11">
      <w:pPr>
        <w:pStyle w:val="ListParagraph"/>
        <w:numPr>
          <w:ilvl w:val="0"/>
          <w:numId w:val="2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T or F: Most humans require gradual weaning from MV to be successfully </w:t>
      </w:r>
      <w:proofErr w:type="spellStart"/>
      <w:r w:rsidRPr="009A2A7D">
        <w:rPr>
          <w:color w:val="0A0905"/>
          <w:sz w:val="20"/>
          <w:szCs w:val="20"/>
        </w:rPr>
        <w:t>extubated</w:t>
      </w:r>
      <w:proofErr w:type="spellEnd"/>
      <w:r w:rsidRPr="009A2A7D">
        <w:rPr>
          <w:color w:val="0A0905"/>
          <w:sz w:val="20"/>
          <w:szCs w:val="20"/>
        </w:rPr>
        <w:t>.</w:t>
      </w:r>
    </w:p>
    <w:p w:rsidR="00F33F11" w:rsidRPr="009A2A7D" w:rsidRDefault="00F33F11" w:rsidP="00F33F11">
      <w:pPr>
        <w:pStyle w:val="ListParagraph"/>
        <w:numPr>
          <w:ilvl w:val="0"/>
          <w:numId w:val="2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T or F: Daily evaluation and SBT resulted in more children failing </w:t>
      </w:r>
      <w:proofErr w:type="spellStart"/>
      <w:r w:rsidRPr="009A2A7D">
        <w:rPr>
          <w:color w:val="0A0905"/>
          <w:sz w:val="20"/>
          <w:szCs w:val="20"/>
        </w:rPr>
        <w:t>extubation</w:t>
      </w:r>
      <w:proofErr w:type="spellEnd"/>
      <w:r w:rsidRPr="009A2A7D">
        <w:rPr>
          <w:color w:val="0A0905"/>
          <w:sz w:val="20"/>
          <w:szCs w:val="20"/>
        </w:rPr>
        <w:t>.</w:t>
      </w:r>
    </w:p>
    <w:p w:rsidR="00F33F11" w:rsidRPr="009A2A7D" w:rsidRDefault="00F33F11" w:rsidP="00F33F11">
      <w:pPr>
        <w:pStyle w:val="ListParagraph"/>
        <w:numPr>
          <w:ilvl w:val="0"/>
          <w:numId w:val="2"/>
        </w:num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T or F: By looking at the ventilator settings alone, you can determine how likely a patient is to be successfully </w:t>
      </w:r>
      <w:proofErr w:type="spellStart"/>
      <w:r w:rsidRPr="009A2A7D">
        <w:rPr>
          <w:color w:val="0A0905"/>
          <w:sz w:val="20"/>
          <w:szCs w:val="20"/>
        </w:rPr>
        <w:t>extubated</w:t>
      </w:r>
      <w:proofErr w:type="spellEnd"/>
      <w:r w:rsidRPr="009A2A7D">
        <w:rPr>
          <w:color w:val="0A0905"/>
          <w:sz w:val="20"/>
          <w:szCs w:val="20"/>
        </w:rPr>
        <w:t>.</w:t>
      </w:r>
    </w:p>
    <w:p w:rsidR="00436D43" w:rsidRPr="009A2A7D" w:rsidRDefault="00436D43">
      <w:pPr>
        <w:rPr>
          <w:color w:val="0A0905"/>
          <w:sz w:val="20"/>
          <w:szCs w:val="20"/>
        </w:rPr>
      </w:pPr>
    </w:p>
    <w:p w:rsidR="00436D43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br w:type="page"/>
      </w:r>
    </w:p>
    <w:p w:rsidR="00436D43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lastRenderedPageBreak/>
        <w:t xml:space="preserve">Critical Care </w:t>
      </w:r>
      <w:proofErr w:type="spellStart"/>
      <w:r w:rsidRPr="009A2A7D">
        <w:rPr>
          <w:color w:val="0A0905"/>
          <w:sz w:val="20"/>
          <w:szCs w:val="20"/>
        </w:rPr>
        <w:t>Medince</w:t>
      </w:r>
      <w:proofErr w:type="spellEnd"/>
      <w:r w:rsidRPr="009A2A7D">
        <w:rPr>
          <w:color w:val="0A0905"/>
          <w:sz w:val="20"/>
          <w:szCs w:val="20"/>
        </w:rPr>
        <w:t xml:space="preserve"> 2011 </w:t>
      </w:r>
      <w:proofErr w:type="spellStart"/>
      <w:r w:rsidRPr="009A2A7D">
        <w:rPr>
          <w:color w:val="0A0905"/>
          <w:sz w:val="20"/>
          <w:szCs w:val="20"/>
        </w:rPr>
        <w:t>Vol</w:t>
      </w:r>
      <w:proofErr w:type="spellEnd"/>
      <w:r w:rsidRPr="009A2A7D">
        <w:rPr>
          <w:color w:val="0A0905"/>
          <w:sz w:val="20"/>
          <w:szCs w:val="20"/>
        </w:rPr>
        <w:t xml:space="preserve"> 39, No 11, p 2419-24. (November)</w:t>
      </w:r>
    </w:p>
    <w:p w:rsidR="00436D43" w:rsidRPr="009A2A7D" w:rsidRDefault="00436D43">
      <w:pPr>
        <w:rPr>
          <w:color w:val="0A0905"/>
          <w:sz w:val="20"/>
          <w:szCs w:val="20"/>
        </w:rPr>
      </w:pPr>
      <w:proofErr w:type="spellStart"/>
      <w:r w:rsidRPr="009A2A7D">
        <w:rPr>
          <w:color w:val="0A0905"/>
          <w:sz w:val="20"/>
          <w:szCs w:val="20"/>
        </w:rPr>
        <w:t>Nor’azim</w:t>
      </w:r>
      <w:proofErr w:type="spellEnd"/>
      <w:r w:rsidRPr="009A2A7D">
        <w:rPr>
          <w:color w:val="0A0905"/>
          <w:sz w:val="20"/>
          <w:szCs w:val="20"/>
        </w:rPr>
        <w:t xml:space="preserve"> </w:t>
      </w:r>
      <w:proofErr w:type="spellStart"/>
      <w:r w:rsidRPr="009A2A7D">
        <w:rPr>
          <w:color w:val="0A0905"/>
          <w:sz w:val="20"/>
          <w:szCs w:val="20"/>
        </w:rPr>
        <w:t>Mohd</w:t>
      </w:r>
      <w:proofErr w:type="spellEnd"/>
      <w:r w:rsidRPr="009A2A7D">
        <w:rPr>
          <w:color w:val="0A0905"/>
          <w:sz w:val="20"/>
          <w:szCs w:val="20"/>
        </w:rPr>
        <w:t xml:space="preserve"> </w:t>
      </w:r>
      <w:proofErr w:type="spellStart"/>
      <w:r w:rsidRPr="009A2A7D">
        <w:rPr>
          <w:color w:val="0A0905"/>
          <w:sz w:val="20"/>
          <w:szCs w:val="20"/>
        </w:rPr>
        <w:t>Yunos</w:t>
      </w:r>
      <w:proofErr w:type="spellEnd"/>
      <w:r w:rsidRPr="009A2A7D">
        <w:rPr>
          <w:color w:val="0A0905"/>
          <w:sz w:val="20"/>
          <w:szCs w:val="20"/>
        </w:rPr>
        <w:t xml:space="preserve"> et al</w:t>
      </w:r>
    </w:p>
    <w:p w:rsidR="00436D43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>The biochemical effects of restricting chloride-rich fluids in intensive care</w:t>
      </w:r>
    </w:p>
    <w:p w:rsidR="00436D43" w:rsidRPr="009A2A7D" w:rsidRDefault="00436D43">
      <w:pPr>
        <w:rPr>
          <w:color w:val="0A0905"/>
          <w:sz w:val="20"/>
          <w:szCs w:val="20"/>
        </w:rPr>
      </w:pPr>
      <w:r w:rsidRPr="009A2A7D">
        <w:rPr>
          <w:color w:val="0A0905"/>
          <w:sz w:val="20"/>
          <w:szCs w:val="20"/>
        </w:rPr>
        <w:t xml:space="preserve">Objective: To determine the biochemical effects of restricting the use of chloride-rich intravenous fluids in critically ill patients. Design: Prospective, open-label, before-and-after study. Setting: University-affiliated intensive care unit. Patients: A cohort of 828 consecutive patients admitted over 6 months from February 2008 and cohort of 816 consecutive patients admitted over 6 months from February 2009. Interventions: We collected biochemical and fluid use data during standard practice without clinician awareness. After a 6-month period of education and preparation, we restricted the use of chloride-rich fluids (0.9% saline [Baxter, Sydney, Australia], </w:t>
      </w:r>
      <w:proofErr w:type="spellStart"/>
      <w:r w:rsidRPr="009A2A7D">
        <w:rPr>
          <w:color w:val="0A0905"/>
          <w:sz w:val="20"/>
          <w:szCs w:val="20"/>
        </w:rPr>
        <w:t>Gelofusine</w:t>
      </w:r>
      <w:proofErr w:type="spellEnd"/>
      <w:r w:rsidRPr="009A2A7D">
        <w:rPr>
          <w:color w:val="0A0905"/>
          <w:sz w:val="20"/>
          <w:szCs w:val="20"/>
        </w:rPr>
        <w:t xml:space="preserve"> [</w:t>
      </w:r>
      <w:proofErr w:type="spellStart"/>
      <w:r w:rsidRPr="009A2A7D">
        <w:rPr>
          <w:color w:val="0A0905"/>
          <w:sz w:val="20"/>
          <w:szCs w:val="20"/>
        </w:rPr>
        <w:t>BBraun</w:t>
      </w:r>
      <w:proofErr w:type="spellEnd"/>
      <w:r w:rsidRPr="009A2A7D">
        <w:rPr>
          <w:color w:val="0A0905"/>
          <w:sz w:val="20"/>
          <w:szCs w:val="20"/>
        </w:rPr>
        <w:t xml:space="preserve">, </w:t>
      </w:r>
      <w:proofErr w:type="spellStart"/>
      <w:r w:rsidRPr="009A2A7D">
        <w:rPr>
          <w:color w:val="0A0905"/>
          <w:sz w:val="20"/>
          <w:szCs w:val="20"/>
        </w:rPr>
        <w:t>Melsungen</w:t>
      </w:r>
      <w:proofErr w:type="spellEnd"/>
      <w:r w:rsidRPr="009A2A7D">
        <w:rPr>
          <w:color w:val="0A0905"/>
          <w:sz w:val="20"/>
          <w:szCs w:val="20"/>
        </w:rPr>
        <w:t xml:space="preserve">, Germany], and </w:t>
      </w:r>
      <w:proofErr w:type="spellStart"/>
      <w:r w:rsidRPr="009A2A7D">
        <w:rPr>
          <w:color w:val="0A0905"/>
          <w:sz w:val="20"/>
          <w:szCs w:val="20"/>
        </w:rPr>
        <w:t>Albumex</w:t>
      </w:r>
      <w:proofErr w:type="spellEnd"/>
      <w:r w:rsidRPr="009A2A7D">
        <w:rPr>
          <w:color w:val="0A0905"/>
          <w:sz w:val="20"/>
          <w:szCs w:val="20"/>
        </w:rPr>
        <w:t xml:space="preserve"> 4 [CSL </w:t>
      </w:r>
      <w:proofErr w:type="spellStart"/>
      <w:r w:rsidRPr="009A2A7D">
        <w:rPr>
          <w:color w:val="0A0905"/>
          <w:sz w:val="20"/>
          <w:szCs w:val="20"/>
        </w:rPr>
        <w:t>Bioplasma</w:t>
      </w:r>
      <w:proofErr w:type="spellEnd"/>
      <w:r w:rsidRPr="009A2A7D">
        <w:rPr>
          <w:color w:val="0A0905"/>
          <w:sz w:val="20"/>
          <w:szCs w:val="20"/>
        </w:rPr>
        <w:t xml:space="preserve">, Melbourne, Australia]) in the intensive care unit and made them available only on specific intensive care unit specialist prescription. Measurements and Main Results: Saline prescription decreased from 2411 L in the control group to 52 L in the intervention group (p &lt; .001), </w:t>
      </w:r>
      <w:proofErr w:type="spellStart"/>
      <w:r w:rsidRPr="009A2A7D">
        <w:rPr>
          <w:color w:val="0A0905"/>
          <w:sz w:val="20"/>
          <w:szCs w:val="20"/>
        </w:rPr>
        <w:t>Gelofusine</w:t>
      </w:r>
      <w:proofErr w:type="spellEnd"/>
      <w:r w:rsidRPr="009A2A7D">
        <w:rPr>
          <w:color w:val="0A0905"/>
          <w:sz w:val="20"/>
          <w:szCs w:val="20"/>
        </w:rPr>
        <w:t xml:space="preserve"> from 538 to 0 L (p &lt; .001), and </w:t>
      </w:r>
      <w:proofErr w:type="spellStart"/>
      <w:r w:rsidRPr="009A2A7D">
        <w:rPr>
          <w:color w:val="0A0905"/>
          <w:sz w:val="20"/>
          <w:szCs w:val="20"/>
        </w:rPr>
        <w:t>Albumex</w:t>
      </w:r>
      <w:proofErr w:type="spellEnd"/>
      <w:r w:rsidRPr="009A2A7D">
        <w:rPr>
          <w:color w:val="0A0905"/>
          <w:sz w:val="20"/>
          <w:szCs w:val="20"/>
        </w:rPr>
        <w:t xml:space="preserve"> 4 from 269 to 80 L (p &lt; .001). As expected, Hartmann's lactated solution prescription increased from 469 to 3205 L (p &lt; .001), Plasma-</w:t>
      </w:r>
      <w:proofErr w:type="spellStart"/>
      <w:r w:rsidRPr="009A2A7D">
        <w:rPr>
          <w:color w:val="0A0905"/>
          <w:sz w:val="20"/>
          <w:szCs w:val="20"/>
        </w:rPr>
        <w:t>Lyte</w:t>
      </w:r>
      <w:proofErr w:type="spellEnd"/>
      <w:r w:rsidRPr="009A2A7D">
        <w:rPr>
          <w:color w:val="0A0905"/>
          <w:sz w:val="20"/>
          <w:szCs w:val="20"/>
        </w:rPr>
        <w:t xml:space="preserve"> from 65 to 160 L (p &lt; .05), and chloride-poor </w:t>
      </w:r>
      <w:proofErr w:type="spellStart"/>
      <w:r w:rsidRPr="009A2A7D">
        <w:rPr>
          <w:color w:val="0A0905"/>
          <w:sz w:val="20"/>
          <w:szCs w:val="20"/>
        </w:rPr>
        <w:t>Albumex</w:t>
      </w:r>
      <w:proofErr w:type="spellEnd"/>
      <w:r w:rsidRPr="009A2A7D">
        <w:rPr>
          <w:color w:val="0A0905"/>
          <w:sz w:val="20"/>
          <w:szCs w:val="20"/>
        </w:rPr>
        <w:t xml:space="preserve"> 20 from 87 to 268 L (p &lt; .001). After intervention, the incidence of severe metabolic acidosis (standard base excess &lt;-5 </w:t>
      </w:r>
      <w:proofErr w:type="spellStart"/>
      <w:r w:rsidRPr="009A2A7D">
        <w:rPr>
          <w:color w:val="0A0905"/>
          <w:sz w:val="20"/>
          <w:szCs w:val="20"/>
        </w:rPr>
        <w:t>mEq</w:t>
      </w:r>
      <w:proofErr w:type="spellEnd"/>
      <w:r w:rsidRPr="009A2A7D">
        <w:rPr>
          <w:color w:val="0A0905"/>
          <w:sz w:val="20"/>
          <w:szCs w:val="20"/>
        </w:rPr>
        <w:t xml:space="preserve">/L) decreased from 9.1% to 6.0% (p &lt; .001) and severe </w:t>
      </w:r>
      <w:proofErr w:type="spellStart"/>
      <w:r w:rsidRPr="009A2A7D">
        <w:rPr>
          <w:color w:val="0A0905"/>
          <w:sz w:val="20"/>
          <w:szCs w:val="20"/>
        </w:rPr>
        <w:t>acidemia</w:t>
      </w:r>
      <w:proofErr w:type="spellEnd"/>
      <w:r w:rsidRPr="009A2A7D">
        <w:rPr>
          <w:color w:val="0A0905"/>
          <w:sz w:val="20"/>
          <w:szCs w:val="20"/>
        </w:rPr>
        <w:t xml:space="preserve"> (pH &lt;7.3) from 6.0% to 4.9% (p &lt; .001). However, the intervention also led to significantly greater incidence of severe metabolic alkalosis (standard base excess &gt;5 </w:t>
      </w:r>
      <w:proofErr w:type="spellStart"/>
      <w:r w:rsidRPr="009A2A7D">
        <w:rPr>
          <w:color w:val="0A0905"/>
          <w:sz w:val="20"/>
          <w:szCs w:val="20"/>
        </w:rPr>
        <w:t>mEq</w:t>
      </w:r>
      <w:proofErr w:type="spellEnd"/>
      <w:r w:rsidRPr="009A2A7D">
        <w:rPr>
          <w:color w:val="0A0905"/>
          <w:sz w:val="20"/>
          <w:szCs w:val="20"/>
        </w:rPr>
        <w:t xml:space="preserve">/L) and </w:t>
      </w:r>
      <w:proofErr w:type="spellStart"/>
      <w:r w:rsidRPr="009A2A7D">
        <w:rPr>
          <w:color w:val="0A0905"/>
          <w:sz w:val="20"/>
          <w:szCs w:val="20"/>
        </w:rPr>
        <w:t>alkalemia</w:t>
      </w:r>
      <w:proofErr w:type="spellEnd"/>
      <w:r w:rsidRPr="009A2A7D">
        <w:rPr>
          <w:color w:val="0A0905"/>
          <w:sz w:val="20"/>
          <w:szCs w:val="20"/>
        </w:rPr>
        <w:t xml:space="preserve"> (pH &gt;7.5) with an increase from 25.4% to 32.8% and 10.5% to 14.7%, respectively (p &lt; .001). The time-weighted mean chloride level decreased from 104.9 +/- 4.9 to 102.5 +/- 4.6 </w:t>
      </w:r>
      <w:proofErr w:type="spellStart"/>
      <w:r w:rsidRPr="009A2A7D">
        <w:rPr>
          <w:color w:val="0A0905"/>
          <w:sz w:val="20"/>
          <w:szCs w:val="20"/>
        </w:rPr>
        <w:t>mmol</w:t>
      </w:r>
      <w:proofErr w:type="spellEnd"/>
      <w:r w:rsidRPr="009A2A7D">
        <w:rPr>
          <w:color w:val="0A0905"/>
          <w:sz w:val="20"/>
          <w:szCs w:val="20"/>
        </w:rPr>
        <w:t xml:space="preserve">/L (p &lt; .001), whereas the time-weighted mean standard base excess increased from 0.5 +/- 4.5 to 1.8 +/- 4.7 </w:t>
      </w:r>
      <w:proofErr w:type="spellStart"/>
      <w:r w:rsidRPr="009A2A7D">
        <w:rPr>
          <w:color w:val="0A0905"/>
          <w:sz w:val="20"/>
          <w:szCs w:val="20"/>
        </w:rPr>
        <w:t>mmol</w:t>
      </w:r>
      <w:proofErr w:type="spellEnd"/>
      <w:r w:rsidRPr="009A2A7D">
        <w:rPr>
          <w:color w:val="0A0905"/>
          <w:sz w:val="20"/>
          <w:szCs w:val="20"/>
        </w:rPr>
        <w:t xml:space="preserve">/L (p &lt; .001), mean bicarbonate from 25.3 +/- 4.0 to 26.4 +/- 4.1 </w:t>
      </w:r>
      <w:proofErr w:type="spellStart"/>
      <w:r w:rsidRPr="009A2A7D">
        <w:rPr>
          <w:color w:val="0A0905"/>
          <w:sz w:val="20"/>
          <w:szCs w:val="20"/>
        </w:rPr>
        <w:t>mmol</w:t>
      </w:r>
      <w:proofErr w:type="spellEnd"/>
      <w:r w:rsidRPr="009A2A7D">
        <w:rPr>
          <w:color w:val="0A0905"/>
          <w:sz w:val="20"/>
          <w:szCs w:val="20"/>
        </w:rPr>
        <w:t>/L (p &lt; .001) and mean pH from 7.40 +/- 0.06 to 7.42 +/- 0.06 (p &lt; .001). Overall fluid costs decreased from $15,077 (U.S.) to $3,915. Conclusions: In a tertiary intensive care unit in Australia, restricting the use of chloride-rich fluids significantly affected electrolyte and acid-base status. The choice of fluids significantly modulates acid-base status in critically ill patients.</w:t>
      </w:r>
    </w:p>
    <w:p w:rsidR="00A447F7" w:rsidRPr="00A447F7" w:rsidRDefault="009A2A7D" w:rsidP="00A447F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9A2A7D">
        <w:rPr>
          <w:sz w:val="20"/>
          <w:szCs w:val="20"/>
        </w:rPr>
        <w:t xml:space="preserve">Based on Stewart’s approach to acid-base, increasing </w:t>
      </w:r>
      <w:proofErr w:type="spellStart"/>
      <w:r w:rsidRPr="009A2A7D">
        <w:rPr>
          <w:sz w:val="20"/>
          <w:szCs w:val="20"/>
        </w:rPr>
        <w:t>Cl</w:t>
      </w:r>
      <w:proofErr w:type="spellEnd"/>
      <w:r w:rsidRPr="009A2A7D">
        <w:rPr>
          <w:sz w:val="20"/>
          <w:szCs w:val="20"/>
        </w:rPr>
        <w:t xml:space="preserve"> will decrease the Strong ion difference and result in metabolic acidosis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Need more studies to determine if metabolic acidosis/alkalosis provides any benefit/risk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Low </w:t>
      </w:r>
      <w:proofErr w:type="spellStart"/>
      <w:r>
        <w:rPr>
          <w:sz w:val="20"/>
          <w:szCs w:val="20"/>
        </w:rPr>
        <w:t>Cl</w:t>
      </w:r>
      <w:proofErr w:type="spellEnd"/>
      <w:r>
        <w:rPr>
          <w:sz w:val="20"/>
          <w:szCs w:val="20"/>
        </w:rPr>
        <w:t xml:space="preserve"> fluids reduced the incidence of severe </w:t>
      </w:r>
      <w:proofErr w:type="spellStart"/>
      <w:r>
        <w:rPr>
          <w:sz w:val="20"/>
          <w:szCs w:val="20"/>
        </w:rPr>
        <w:t>dyschloremia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dysnatremia</w:t>
      </w:r>
      <w:proofErr w:type="spellEnd"/>
      <w:r>
        <w:rPr>
          <w:sz w:val="20"/>
          <w:szCs w:val="20"/>
        </w:rPr>
        <w:t xml:space="preserve"> compared to high </w:t>
      </w:r>
      <w:proofErr w:type="spellStart"/>
      <w:r>
        <w:rPr>
          <w:sz w:val="20"/>
          <w:szCs w:val="20"/>
        </w:rPr>
        <w:t>Cl</w:t>
      </w:r>
      <w:proofErr w:type="spellEnd"/>
      <w:r>
        <w:rPr>
          <w:sz w:val="20"/>
          <w:szCs w:val="20"/>
        </w:rPr>
        <w:t xml:space="preserve"> fluids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Greater number of severe pH &amp; acid-base derangements with low </w:t>
      </w:r>
      <w:proofErr w:type="spellStart"/>
      <w:r>
        <w:rPr>
          <w:sz w:val="20"/>
          <w:szCs w:val="20"/>
        </w:rPr>
        <w:t>Cl</w:t>
      </w:r>
      <w:proofErr w:type="spellEnd"/>
      <w:r>
        <w:rPr>
          <w:sz w:val="20"/>
          <w:szCs w:val="20"/>
        </w:rPr>
        <w:t xml:space="preserve"> fluids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What fluids you choose affects your patients electrolytes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Lactate containing fluids may transiently increase patient lactate</w:t>
      </w:r>
    </w:p>
    <w:p w:rsidR="00A447F7" w:rsidRDefault="00A447F7" w:rsidP="009A2A7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No significant detrimental biochemical effects observed.</w:t>
      </w:r>
    </w:p>
    <w:p w:rsidR="00A447F7" w:rsidRDefault="00A447F7" w:rsidP="00A447F7">
      <w:pPr>
        <w:pStyle w:val="ListParagraph"/>
        <w:rPr>
          <w:sz w:val="20"/>
          <w:szCs w:val="20"/>
        </w:rPr>
      </w:pPr>
    </w:p>
    <w:p w:rsidR="00A447F7" w:rsidRDefault="00A447F7" w:rsidP="00A447F7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 or F: Patients with a metabolic acidosis were more likely to have a worse outcome. </w:t>
      </w:r>
    </w:p>
    <w:p w:rsidR="00A447F7" w:rsidRPr="006720F5" w:rsidRDefault="00A447F7" w:rsidP="006720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 or F: There were fewer Na and </w:t>
      </w:r>
      <w:proofErr w:type="spellStart"/>
      <w:r>
        <w:rPr>
          <w:sz w:val="20"/>
          <w:szCs w:val="20"/>
        </w:rPr>
        <w:t>Cl</w:t>
      </w:r>
      <w:proofErr w:type="spellEnd"/>
      <w:r>
        <w:rPr>
          <w:sz w:val="20"/>
          <w:szCs w:val="20"/>
        </w:rPr>
        <w:t xml:space="preserve"> derangements with the low </w:t>
      </w:r>
      <w:proofErr w:type="spellStart"/>
      <w:r>
        <w:rPr>
          <w:sz w:val="20"/>
          <w:szCs w:val="20"/>
        </w:rPr>
        <w:t>Cl</w:t>
      </w:r>
      <w:proofErr w:type="spellEnd"/>
      <w:r>
        <w:rPr>
          <w:sz w:val="20"/>
          <w:szCs w:val="20"/>
        </w:rPr>
        <w:t xml:space="preserve"> fluids.</w:t>
      </w:r>
    </w:p>
    <w:sectPr w:rsidR="00A447F7" w:rsidRPr="006720F5" w:rsidSect="00E8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B61"/>
    <w:multiLevelType w:val="hybridMultilevel"/>
    <w:tmpl w:val="778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60800"/>
    <w:multiLevelType w:val="hybridMultilevel"/>
    <w:tmpl w:val="4F087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33D02"/>
    <w:multiLevelType w:val="hybridMultilevel"/>
    <w:tmpl w:val="5074C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C1D1D"/>
    <w:multiLevelType w:val="hybridMultilevel"/>
    <w:tmpl w:val="3A80D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6D43"/>
    <w:rsid w:val="00384C8E"/>
    <w:rsid w:val="00436D43"/>
    <w:rsid w:val="006720F5"/>
    <w:rsid w:val="009A2A7D"/>
    <w:rsid w:val="00A447F7"/>
    <w:rsid w:val="00E81858"/>
    <w:rsid w:val="00F3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8F10-70FD-494F-A8A8-B59B7F07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aeb287</dc:creator>
  <cp:keywords/>
  <dc:description/>
  <cp:lastModifiedBy>aeb287</cp:lastModifiedBy>
  <cp:revision>3</cp:revision>
  <dcterms:created xsi:type="dcterms:W3CDTF">2011-11-02T19:01:00Z</dcterms:created>
  <dcterms:modified xsi:type="dcterms:W3CDTF">2011-11-02T19:52:00Z</dcterms:modified>
</cp:coreProperties>
</file>