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C1FF6" w14:textId="77777777" w:rsidR="008D2E9F" w:rsidRDefault="008538BC">
      <w:r>
        <w:t>Literature Review 12/1/11</w:t>
      </w:r>
    </w:p>
    <w:p w14:paraId="0522EB39" w14:textId="77777777" w:rsidR="008538BC" w:rsidRDefault="008538BC">
      <w:r>
        <w:rPr>
          <w:noProof/>
        </w:rPr>
        <w:drawing>
          <wp:inline distT="0" distB="0" distL="0" distR="0" wp14:anchorId="1B98DCC8" wp14:editId="525AB6DA">
            <wp:extent cx="5829300" cy="393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931" cy="3937426"/>
                    </a:xfrm>
                    <a:prstGeom prst="rect">
                      <a:avLst/>
                    </a:prstGeom>
                    <a:noFill/>
                    <a:ln>
                      <a:noFill/>
                    </a:ln>
                  </pic:spPr>
                </pic:pic>
              </a:graphicData>
            </a:graphic>
          </wp:inline>
        </w:drawing>
      </w:r>
    </w:p>
    <w:p w14:paraId="27A6AECB" w14:textId="77777777" w:rsidR="004157AE" w:rsidRDefault="004157AE"/>
    <w:p w14:paraId="408C675B" w14:textId="77777777" w:rsidR="008538BC" w:rsidRDefault="008538BC">
      <w:r>
        <w:t>KEY POINTS:</w:t>
      </w:r>
    </w:p>
    <w:p w14:paraId="6565DE14" w14:textId="77777777" w:rsidR="008538BC" w:rsidRPr="000120CA" w:rsidRDefault="000120CA" w:rsidP="000120CA">
      <w:pPr>
        <w:pStyle w:val="ListParagraph"/>
        <w:numPr>
          <w:ilvl w:val="0"/>
          <w:numId w:val="1"/>
        </w:numPr>
        <w:rPr>
          <w:sz w:val="20"/>
          <w:szCs w:val="20"/>
        </w:rPr>
      </w:pPr>
      <w:r w:rsidRPr="000120CA">
        <w:rPr>
          <w:sz w:val="20"/>
          <w:szCs w:val="20"/>
        </w:rPr>
        <w:t>14-20% of dogs and 20% cats have evidence of residual uroliths postop cystotomy</w:t>
      </w:r>
    </w:p>
    <w:p w14:paraId="1005A52C" w14:textId="77777777" w:rsidR="000120CA" w:rsidRDefault="000120CA" w:rsidP="000120CA">
      <w:pPr>
        <w:pStyle w:val="ListParagraph"/>
        <w:numPr>
          <w:ilvl w:val="0"/>
          <w:numId w:val="1"/>
        </w:numPr>
        <w:rPr>
          <w:sz w:val="20"/>
          <w:szCs w:val="20"/>
        </w:rPr>
      </w:pPr>
      <w:r w:rsidRPr="000120CA">
        <w:rPr>
          <w:sz w:val="20"/>
          <w:szCs w:val="20"/>
        </w:rPr>
        <w:t>Intracorporeal laser lithotripsy has been found to be as effective as cystotomy for removal of stones, has shorter hosp times, but is limited by patient size stone size, stone number, prolonged anesthesia, sex and species</w:t>
      </w:r>
    </w:p>
    <w:p w14:paraId="439E3EC8" w14:textId="77777777" w:rsidR="000120CA" w:rsidRDefault="000120CA" w:rsidP="000120CA">
      <w:pPr>
        <w:pStyle w:val="ListParagraph"/>
        <w:numPr>
          <w:ilvl w:val="0"/>
          <w:numId w:val="1"/>
        </w:numPr>
        <w:rPr>
          <w:sz w:val="20"/>
          <w:szCs w:val="20"/>
        </w:rPr>
      </w:pPr>
      <w:r>
        <w:rPr>
          <w:sz w:val="20"/>
          <w:szCs w:val="20"/>
        </w:rPr>
        <w:t>Prior to this procedure all patients were required to have negative urine culture results or 43hrs of appropriate antimicrobial administration</w:t>
      </w:r>
    </w:p>
    <w:p w14:paraId="28DB6888" w14:textId="77777777" w:rsidR="000120CA" w:rsidRDefault="000120CA" w:rsidP="000120CA">
      <w:pPr>
        <w:pStyle w:val="ListParagraph"/>
        <w:numPr>
          <w:ilvl w:val="0"/>
          <w:numId w:val="1"/>
        </w:numPr>
        <w:rPr>
          <w:sz w:val="20"/>
          <w:szCs w:val="20"/>
        </w:rPr>
      </w:pPr>
      <w:r>
        <w:rPr>
          <w:sz w:val="20"/>
          <w:szCs w:val="20"/>
        </w:rPr>
        <w:t>5/27 required cannula to be removed, and 1/27 had to have the incision extended to remove largest stone</w:t>
      </w:r>
    </w:p>
    <w:p w14:paraId="0445F623" w14:textId="77777777" w:rsidR="000120CA" w:rsidRDefault="004157AE" w:rsidP="000120CA">
      <w:pPr>
        <w:pStyle w:val="ListParagraph"/>
        <w:numPr>
          <w:ilvl w:val="0"/>
          <w:numId w:val="1"/>
        </w:numPr>
        <w:rPr>
          <w:sz w:val="20"/>
          <w:szCs w:val="20"/>
        </w:rPr>
      </w:pPr>
      <w:r>
        <w:rPr>
          <w:sz w:val="20"/>
          <w:szCs w:val="20"/>
        </w:rPr>
        <w:t>1/27 (female cat), 3.7% incidence had residual urolith postop</w:t>
      </w:r>
    </w:p>
    <w:p w14:paraId="0B005032" w14:textId="77777777" w:rsidR="004157AE" w:rsidRDefault="004157AE" w:rsidP="000120CA">
      <w:pPr>
        <w:pStyle w:val="ListParagraph"/>
        <w:numPr>
          <w:ilvl w:val="0"/>
          <w:numId w:val="1"/>
        </w:numPr>
        <w:rPr>
          <w:sz w:val="20"/>
          <w:szCs w:val="20"/>
        </w:rPr>
      </w:pPr>
      <w:r>
        <w:rPr>
          <w:sz w:val="20"/>
          <w:szCs w:val="20"/>
        </w:rPr>
        <w:t>Only major procedural limitation was inadequate visualization of the entire penile urethra in small patients &lt;5.5kg</w:t>
      </w:r>
    </w:p>
    <w:p w14:paraId="26113979" w14:textId="77777777" w:rsidR="004157AE" w:rsidRDefault="004157AE" w:rsidP="000120CA">
      <w:pPr>
        <w:pStyle w:val="ListParagraph"/>
        <w:numPr>
          <w:ilvl w:val="0"/>
          <w:numId w:val="1"/>
        </w:numPr>
        <w:rPr>
          <w:sz w:val="20"/>
          <w:szCs w:val="20"/>
        </w:rPr>
      </w:pPr>
      <w:r>
        <w:rPr>
          <w:sz w:val="20"/>
          <w:szCs w:val="20"/>
        </w:rPr>
        <w:t>All patients discharged within 24hrs, most same day</w:t>
      </w:r>
    </w:p>
    <w:p w14:paraId="7DD6B058" w14:textId="77777777" w:rsidR="004157AE" w:rsidRDefault="004157AE" w:rsidP="000120CA">
      <w:pPr>
        <w:pStyle w:val="ListParagraph"/>
        <w:numPr>
          <w:ilvl w:val="0"/>
          <w:numId w:val="1"/>
        </w:numPr>
        <w:rPr>
          <w:sz w:val="20"/>
          <w:szCs w:val="20"/>
        </w:rPr>
      </w:pPr>
      <w:r>
        <w:rPr>
          <w:sz w:val="20"/>
          <w:szCs w:val="20"/>
        </w:rPr>
        <w:t>All owners expressed satisfaction with the procedure</w:t>
      </w:r>
    </w:p>
    <w:p w14:paraId="3038148F" w14:textId="77777777" w:rsidR="004157AE" w:rsidRDefault="004157AE" w:rsidP="004157AE">
      <w:pPr>
        <w:rPr>
          <w:sz w:val="20"/>
          <w:szCs w:val="20"/>
        </w:rPr>
      </w:pPr>
    </w:p>
    <w:p w14:paraId="72797DB3" w14:textId="77777777" w:rsidR="004157AE" w:rsidRDefault="004157AE" w:rsidP="004157AE">
      <w:pPr>
        <w:rPr>
          <w:sz w:val="20"/>
          <w:szCs w:val="20"/>
        </w:rPr>
      </w:pPr>
      <w:r>
        <w:rPr>
          <w:sz w:val="20"/>
          <w:szCs w:val="20"/>
        </w:rPr>
        <w:t>QUESTIONS:</w:t>
      </w:r>
    </w:p>
    <w:p w14:paraId="39D82E5E" w14:textId="77777777" w:rsidR="004157AE" w:rsidRDefault="004157AE" w:rsidP="004157AE">
      <w:pPr>
        <w:pStyle w:val="ListParagraph"/>
        <w:numPr>
          <w:ilvl w:val="0"/>
          <w:numId w:val="2"/>
        </w:numPr>
        <w:rPr>
          <w:sz w:val="20"/>
          <w:szCs w:val="20"/>
        </w:rPr>
      </w:pPr>
      <w:r>
        <w:rPr>
          <w:sz w:val="20"/>
          <w:szCs w:val="20"/>
        </w:rPr>
        <w:t>Which of the following statements regarding PCCL in this study is TRUE?</w:t>
      </w:r>
    </w:p>
    <w:p w14:paraId="3577AD2E" w14:textId="77777777" w:rsidR="004157AE" w:rsidRPr="004157AE" w:rsidRDefault="004157AE" w:rsidP="004157AE">
      <w:pPr>
        <w:pStyle w:val="ListParagraph"/>
        <w:numPr>
          <w:ilvl w:val="0"/>
          <w:numId w:val="3"/>
        </w:numPr>
        <w:rPr>
          <w:sz w:val="20"/>
          <w:szCs w:val="20"/>
        </w:rPr>
      </w:pPr>
      <w:r w:rsidRPr="004157AE">
        <w:rPr>
          <w:sz w:val="20"/>
          <w:szCs w:val="20"/>
        </w:rPr>
        <w:t>Complications were relatively high therefore PCCL cannot be recommended over cystotomy</w:t>
      </w:r>
    </w:p>
    <w:p w14:paraId="4B3BA02B" w14:textId="77777777" w:rsidR="004157AE" w:rsidRDefault="004157AE" w:rsidP="004157AE">
      <w:pPr>
        <w:pStyle w:val="ListParagraph"/>
        <w:numPr>
          <w:ilvl w:val="0"/>
          <w:numId w:val="3"/>
        </w:numPr>
        <w:rPr>
          <w:sz w:val="20"/>
          <w:szCs w:val="20"/>
        </w:rPr>
      </w:pPr>
      <w:r>
        <w:rPr>
          <w:sz w:val="20"/>
          <w:szCs w:val="20"/>
        </w:rPr>
        <w:t>PCCL has similar limitations to lithotripsy, in that the procedure could not be completed in patients less than 5kg</w:t>
      </w:r>
    </w:p>
    <w:p w14:paraId="497C5F06" w14:textId="77777777" w:rsidR="004157AE" w:rsidRPr="005766A7" w:rsidRDefault="004157AE" w:rsidP="004157AE">
      <w:pPr>
        <w:pStyle w:val="ListParagraph"/>
        <w:numPr>
          <w:ilvl w:val="0"/>
          <w:numId w:val="3"/>
        </w:numPr>
        <w:rPr>
          <w:i/>
          <w:sz w:val="20"/>
          <w:szCs w:val="20"/>
        </w:rPr>
      </w:pPr>
      <w:r w:rsidRPr="005766A7">
        <w:rPr>
          <w:i/>
          <w:sz w:val="20"/>
          <w:szCs w:val="20"/>
        </w:rPr>
        <w:t>PCCL was effective at removing</w:t>
      </w:r>
      <w:r w:rsidR="005766A7" w:rsidRPr="005766A7">
        <w:rPr>
          <w:i/>
          <w:sz w:val="20"/>
          <w:szCs w:val="20"/>
        </w:rPr>
        <w:t xml:space="preserve"> all uroliths, but did require cannula removal or incision extension in some cases.</w:t>
      </w:r>
    </w:p>
    <w:p w14:paraId="43563502" w14:textId="77777777" w:rsidR="004157AE" w:rsidRDefault="005766A7" w:rsidP="004157AE">
      <w:pPr>
        <w:pStyle w:val="ListParagraph"/>
        <w:numPr>
          <w:ilvl w:val="0"/>
          <w:numId w:val="3"/>
        </w:numPr>
        <w:rPr>
          <w:sz w:val="20"/>
          <w:szCs w:val="20"/>
        </w:rPr>
      </w:pPr>
      <w:r>
        <w:rPr>
          <w:sz w:val="20"/>
          <w:szCs w:val="20"/>
        </w:rPr>
        <w:t>PCCL required longer hospital stays when compared to patients with cystotomy</w:t>
      </w:r>
    </w:p>
    <w:p w14:paraId="5D3C60AC" w14:textId="77777777" w:rsidR="005766A7" w:rsidRDefault="005766A7" w:rsidP="005766A7">
      <w:pPr>
        <w:rPr>
          <w:sz w:val="20"/>
          <w:szCs w:val="20"/>
        </w:rPr>
      </w:pPr>
    </w:p>
    <w:p w14:paraId="75CE1DF5" w14:textId="63C770C8" w:rsidR="00F95A00" w:rsidRDefault="00F95A00" w:rsidP="00293804">
      <w:pPr>
        <w:rPr>
          <w:sz w:val="20"/>
          <w:szCs w:val="20"/>
        </w:rPr>
      </w:pPr>
      <w:r>
        <w:rPr>
          <w:noProof/>
          <w:sz w:val="20"/>
          <w:szCs w:val="20"/>
        </w:rPr>
        <w:lastRenderedPageBreak/>
        <w:drawing>
          <wp:inline distT="0" distB="0" distL="0" distR="0" wp14:anchorId="687CB61C" wp14:editId="55B082D7">
            <wp:extent cx="58293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0162" cy="3429507"/>
                    </a:xfrm>
                    <a:prstGeom prst="rect">
                      <a:avLst/>
                    </a:prstGeom>
                    <a:noFill/>
                    <a:ln>
                      <a:noFill/>
                    </a:ln>
                  </pic:spPr>
                </pic:pic>
              </a:graphicData>
            </a:graphic>
          </wp:inline>
        </w:drawing>
      </w:r>
    </w:p>
    <w:p w14:paraId="7F6027B3" w14:textId="26E00D38" w:rsidR="00F95A00" w:rsidRDefault="00F95A00" w:rsidP="005766A7">
      <w:pPr>
        <w:rPr>
          <w:sz w:val="20"/>
          <w:szCs w:val="20"/>
        </w:rPr>
      </w:pPr>
      <w:r>
        <w:t>KEY POINTS:</w:t>
      </w:r>
    </w:p>
    <w:p w14:paraId="72E89C48" w14:textId="76B1843D" w:rsidR="000467A5" w:rsidRDefault="000467A5" w:rsidP="000467A5">
      <w:pPr>
        <w:pStyle w:val="ListParagraph"/>
        <w:numPr>
          <w:ilvl w:val="0"/>
          <w:numId w:val="4"/>
        </w:numPr>
        <w:rPr>
          <w:sz w:val="20"/>
          <w:szCs w:val="20"/>
        </w:rPr>
      </w:pPr>
      <w:r>
        <w:rPr>
          <w:sz w:val="20"/>
          <w:szCs w:val="20"/>
        </w:rPr>
        <w:t>Mixed breed dogs and Labradors were overrepresented</w:t>
      </w:r>
    </w:p>
    <w:p w14:paraId="5F41B45F" w14:textId="5EAB68AB" w:rsidR="000467A5" w:rsidRDefault="000467A5" w:rsidP="000467A5">
      <w:pPr>
        <w:pStyle w:val="ListParagraph"/>
        <w:numPr>
          <w:ilvl w:val="0"/>
          <w:numId w:val="4"/>
        </w:numPr>
        <w:rPr>
          <w:sz w:val="20"/>
          <w:szCs w:val="20"/>
        </w:rPr>
      </w:pPr>
      <w:r>
        <w:rPr>
          <w:sz w:val="20"/>
          <w:szCs w:val="20"/>
        </w:rPr>
        <w:t>Survivors were significantly older than nonsurvivors</w:t>
      </w:r>
    </w:p>
    <w:p w14:paraId="1F2F48D1" w14:textId="61DF879E" w:rsidR="000467A5" w:rsidRDefault="000467A5" w:rsidP="000467A5">
      <w:pPr>
        <w:pStyle w:val="ListParagraph"/>
        <w:numPr>
          <w:ilvl w:val="0"/>
          <w:numId w:val="4"/>
        </w:numPr>
        <w:rPr>
          <w:sz w:val="20"/>
          <w:szCs w:val="20"/>
        </w:rPr>
      </w:pPr>
      <w:r>
        <w:rPr>
          <w:sz w:val="20"/>
          <w:szCs w:val="20"/>
        </w:rPr>
        <w:t>Shorter time interval for call to the animal poison control center for assistance had significant effect on survival rate (survivors median 1 hr, non-survivors 18hrs)</w:t>
      </w:r>
    </w:p>
    <w:p w14:paraId="5762A6D7" w14:textId="13BCCCAF" w:rsidR="000467A5" w:rsidRDefault="000467A5" w:rsidP="000467A5">
      <w:pPr>
        <w:pStyle w:val="ListParagraph"/>
        <w:numPr>
          <w:ilvl w:val="0"/>
          <w:numId w:val="4"/>
        </w:numPr>
        <w:rPr>
          <w:sz w:val="20"/>
          <w:szCs w:val="20"/>
        </w:rPr>
      </w:pPr>
      <w:r>
        <w:rPr>
          <w:sz w:val="20"/>
          <w:szCs w:val="20"/>
        </w:rPr>
        <w:t>Overall survival was 98.3%, 5/362 died (uncontrolled seizures and shock, 1 acute death)</w:t>
      </w:r>
    </w:p>
    <w:p w14:paraId="7EA77C44" w14:textId="7E5936C2" w:rsidR="000467A5" w:rsidRDefault="000467A5" w:rsidP="000467A5">
      <w:pPr>
        <w:pStyle w:val="ListParagraph"/>
        <w:numPr>
          <w:ilvl w:val="0"/>
          <w:numId w:val="4"/>
        </w:numPr>
        <w:rPr>
          <w:sz w:val="20"/>
          <w:szCs w:val="20"/>
        </w:rPr>
      </w:pPr>
      <w:r>
        <w:rPr>
          <w:sz w:val="20"/>
          <w:szCs w:val="20"/>
        </w:rPr>
        <w:t>½ of the dogs did not develop clinical signs.  GI signs were most common (66%), followed by malaise (17.8%), CNS signs (8.9%), Respiratory signs (3.3%), and Cardiovascular (1.7%)</w:t>
      </w:r>
    </w:p>
    <w:p w14:paraId="67107B5B" w14:textId="13B2B693" w:rsidR="000467A5" w:rsidRDefault="000467A5" w:rsidP="000467A5">
      <w:pPr>
        <w:pStyle w:val="ListParagraph"/>
        <w:numPr>
          <w:ilvl w:val="0"/>
          <w:numId w:val="4"/>
        </w:numPr>
        <w:rPr>
          <w:sz w:val="20"/>
          <w:szCs w:val="20"/>
        </w:rPr>
      </w:pPr>
      <w:r>
        <w:rPr>
          <w:i/>
          <w:sz w:val="20"/>
          <w:szCs w:val="20"/>
        </w:rPr>
        <w:t>Relay toxicosis</w:t>
      </w:r>
      <w:r>
        <w:rPr>
          <w:sz w:val="20"/>
          <w:szCs w:val="20"/>
        </w:rPr>
        <w:t>: Toxicosis secondary to ingestion of something that ate original toxin</w:t>
      </w:r>
    </w:p>
    <w:p w14:paraId="56EB15DD" w14:textId="739341FC" w:rsidR="000467A5" w:rsidRDefault="000467A5" w:rsidP="000467A5">
      <w:pPr>
        <w:pStyle w:val="ListParagraph"/>
        <w:numPr>
          <w:ilvl w:val="0"/>
          <w:numId w:val="4"/>
        </w:numPr>
        <w:rPr>
          <w:sz w:val="20"/>
          <w:szCs w:val="20"/>
        </w:rPr>
      </w:pPr>
      <w:r>
        <w:rPr>
          <w:sz w:val="20"/>
          <w:szCs w:val="20"/>
        </w:rPr>
        <w:t>MOA: not completely understood, liberation of phosphine gas which is systemically absorbed altering metabolism possibly.  Therefore organs with high metabolic rates affected (brain, heart, liver, then kidney).  Also direct irritant</w:t>
      </w:r>
    </w:p>
    <w:p w14:paraId="7FEAF3AD" w14:textId="3735BF0C" w:rsidR="000467A5" w:rsidRDefault="000467A5" w:rsidP="000467A5">
      <w:pPr>
        <w:pStyle w:val="ListParagraph"/>
        <w:numPr>
          <w:ilvl w:val="0"/>
          <w:numId w:val="4"/>
        </w:numPr>
        <w:rPr>
          <w:sz w:val="20"/>
          <w:szCs w:val="20"/>
        </w:rPr>
      </w:pPr>
      <w:r>
        <w:rPr>
          <w:sz w:val="20"/>
          <w:szCs w:val="20"/>
        </w:rPr>
        <w:t xml:space="preserve">In humans inhalation exposure is also toxic (not reported in dogs).  </w:t>
      </w:r>
      <w:r>
        <w:rPr>
          <w:b/>
          <w:i/>
          <w:sz w:val="20"/>
          <w:szCs w:val="20"/>
        </w:rPr>
        <w:t xml:space="preserve">Therefore strong rec </w:t>
      </w:r>
      <w:r w:rsidR="00293804">
        <w:rPr>
          <w:b/>
          <w:i/>
          <w:sz w:val="20"/>
          <w:szCs w:val="20"/>
        </w:rPr>
        <w:t>for emesis outside and well ventilated cars on ride to ER!</w:t>
      </w:r>
    </w:p>
    <w:p w14:paraId="23EEFE7C" w14:textId="77777777" w:rsidR="00293804" w:rsidRDefault="00293804" w:rsidP="00293804">
      <w:pPr>
        <w:rPr>
          <w:sz w:val="20"/>
          <w:szCs w:val="20"/>
        </w:rPr>
      </w:pPr>
    </w:p>
    <w:p w14:paraId="108C0838" w14:textId="6942822B" w:rsidR="00293804" w:rsidRDefault="00293804" w:rsidP="00293804">
      <w:pPr>
        <w:rPr>
          <w:sz w:val="20"/>
          <w:szCs w:val="20"/>
        </w:rPr>
      </w:pPr>
      <w:r>
        <w:rPr>
          <w:sz w:val="20"/>
          <w:szCs w:val="20"/>
        </w:rPr>
        <w:t>QUESTIONS:</w:t>
      </w:r>
    </w:p>
    <w:p w14:paraId="6723F387" w14:textId="71AE6964" w:rsidR="00293804" w:rsidRDefault="00293804" w:rsidP="00293804">
      <w:pPr>
        <w:pStyle w:val="ListParagraph"/>
        <w:numPr>
          <w:ilvl w:val="0"/>
          <w:numId w:val="6"/>
        </w:numPr>
        <w:rPr>
          <w:sz w:val="20"/>
          <w:szCs w:val="20"/>
        </w:rPr>
      </w:pPr>
      <w:r>
        <w:rPr>
          <w:sz w:val="20"/>
          <w:szCs w:val="20"/>
        </w:rPr>
        <w:t>Which of the following statements regarding this study is TRUE?</w:t>
      </w:r>
    </w:p>
    <w:p w14:paraId="16BED964" w14:textId="1E1E106B" w:rsidR="00293804" w:rsidRDefault="00293804" w:rsidP="00293804">
      <w:pPr>
        <w:pStyle w:val="ListParagraph"/>
        <w:numPr>
          <w:ilvl w:val="1"/>
          <w:numId w:val="6"/>
        </w:numPr>
        <w:rPr>
          <w:sz w:val="20"/>
          <w:szCs w:val="20"/>
        </w:rPr>
      </w:pPr>
      <w:r>
        <w:rPr>
          <w:sz w:val="20"/>
          <w:szCs w:val="20"/>
        </w:rPr>
        <w:t>The most common clinical sign reported was cardiovascular collapse</w:t>
      </w:r>
    </w:p>
    <w:p w14:paraId="5A4DE10C" w14:textId="2AC4DF87" w:rsidR="00293804" w:rsidRPr="00293804" w:rsidRDefault="00293804" w:rsidP="00293804">
      <w:pPr>
        <w:pStyle w:val="ListParagraph"/>
        <w:numPr>
          <w:ilvl w:val="1"/>
          <w:numId w:val="6"/>
        </w:numPr>
        <w:rPr>
          <w:sz w:val="20"/>
          <w:szCs w:val="20"/>
        </w:rPr>
      </w:pPr>
      <w:r w:rsidRPr="00293804">
        <w:rPr>
          <w:sz w:val="20"/>
          <w:szCs w:val="20"/>
        </w:rPr>
        <w:t>Patients ingesting zinc p</w:t>
      </w:r>
      <w:r>
        <w:rPr>
          <w:sz w:val="20"/>
          <w:szCs w:val="20"/>
        </w:rPr>
        <w:t>hosphide rodenticide have a poor</w:t>
      </w:r>
      <w:r w:rsidRPr="00293804">
        <w:rPr>
          <w:sz w:val="20"/>
          <w:szCs w:val="20"/>
        </w:rPr>
        <w:t xml:space="preserve"> prognosis </w:t>
      </w:r>
      <w:r>
        <w:rPr>
          <w:sz w:val="20"/>
          <w:szCs w:val="20"/>
        </w:rPr>
        <w:t xml:space="preserve">even </w:t>
      </w:r>
      <w:r w:rsidRPr="00293804">
        <w:rPr>
          <w:sz w:val="20"/>
          <w:szCs w:val="20"/>
        </w:rPr>
        <w:t>if treated in an appropriate and timely manner</w:t>
      </w:r>
    </w:p>
    <w:p w14:paraId="6F5CF2BC" w14:textId="77777777" w:rsidR="00293804" w:rsidRDefault="00293804" w:rsidP="00293804">
      <w:pPr>
        <w:pStyle w:val="ListParagraph"/>
        <w:numPr>
          <w:ilvl w:val="1"/>
          <w:numId w:val="6"/>
        </w:numPr>
        <w:rPr>
          <w:sz w:val="20"/>
          <w:szCs w:val="20"/>
        </w:rPr>
      </w:pPr>
      <w:r>
        <w:rPr>
          <w:sz w:val="20"/>
          <w:szCs w:val="20"/>
        </w:rPr>
        <w:t>Time interval from ingestion to call to poison control was not associated with survival</w:t>
      </w:r>
    </w:p>
    <w:p w14:paraId="04A3E1E7" w14:textId="30BA0FD6" w:rsidR="00293804" w:rsidRDefault="00293804" w:rsidP="00293804">
      <w:pPr>
        <w:pStyle w:val="ListParagraph"/>
        <w:numPr>
          <w:ilvl w:val="1"/>
          <w:numId w:val="6"/>
        </w:numPr>
        <w:rPr>
          <w:i/>
          <w:sz w:val="20"/>
          <w:szCs w:val="20"/>
        </w:rPr>
      </w:pPr>
      <w:r w:rsidRPr="00293804">
        <w:rPr>
          <w:i/>
          <w:sz w:val="20"/>
          <w:szCs w:val="20"/>
        </w:rPr>
        <w:t xml:space="preserve">Older patients that ingested zinc phosphide reodenticide were more likely to survive than younger patients. </w:t>
      </w:r>
    </w:p>
    <w:p w14:paraId="2DF67088" w14:textId="74EE1356" w:rsidR="00293804" w:rsidRDefault="00293804" w:rsidP="00293804">
      <w:pPr>
        <w:pStyle w:val="ListParagraph"/>
        <w:numPr>
          <w:ilvl w:val="0"/>
          <w:numId w:val="6"/>
        </w:numPr>
        <w:rPr>
          <w:sz w:val="20"/>
          <w:szCs w:val="20"/>
        </w:rPr>
      </w:pPr>
      <w:r>
        <w:rPr>
          <w:sz w:val="20"/>
          <w:szCs w:val="20"/>
        </w:rPr>
        <w:t>Which of the following recommendations should be made to owners of patients that have just ingested a zinc phosphide rodenticide?</w:t>
      </w:r>
    </w:p>
    <w:p w14:paraId="3E2AA191" w14:textId="7B6CD366" w:rsidR="00293804" w:rsidRDefault="00293804" w:rsidP="00293804">
      <w:pPr>
        <w:pStyle w:val="ListParagraph"/>
        <w:numPr>
          <w:ilvl w:val="1"/>
          <w:numId w:val="6"/>
        </w:numPr>
        <w:rPr>
          <w:sz w:val="20"/>
          <w:szCs w:val="20"/>
        </w:rPr>
      </w:pPr>
      <w:r>
        <w:rPr>
          <w:sz w:val="20"/>
          <w:szCs w:val="20"/>
        </w:rPr>
        <w:t>Emesis is not recommend because of the caustic nature of zinc phosphide</w:t>
      </w:r>
    </w:p>
    <w:p w14:paraId="54E4FC79" w14:textId="77777777" w:rsidR="00293804" w:rsidRPr="001710E3" w:rsidRDefault="00293804" w:rsidP="00293804">
      <w:pPr>
        <w:pStyle w:val="ListParagraph"/>
        <w:numPr>
          <w:ilvl w:val="1"/>
          <w:numId w:val="6"/>
        </w:numPr>
        <w:rPr>
          <w:i/>
          <w:sz w:val="20"/>
          <w:szCs w:val="20"/>
        </w:rPr>
      </w:pPr>
      <w:r w:rsidRPr="001710E3">
        <w:rPr>
          <w:i/>
          <w:sz w:val="20"/>
          <w:szCs w:val="20"/>
        </w:rPr>
        <w:t>If done at home emesis should be done outside and the car windows left open en route to an emergency clinic to avoid inhalant exposure to the owner</w:t>
      </w:r>
    </w:p>
    <w:p w14:paraId="4919E80E" w14:textId="77777777" w:rsidR="00293804" w:rsidRDefault="00293804" w:rsidP="00293804">
      <w:pPr>
        <w:pStyle w:val="ListParagraph"/>
        <w:numPr>
          <w:ilvl w:val="1"/>
          <w:numId w:val="6"/>
        </w:numPr>
        <w:rPr>
          <w:sz w:val="20"/>
          <w:szCs w:val="20"/>
        </w:rPr>
      </w:pPr>
      <w:r>
        <w:rPr>
          <w:sz w:val="20"/>
          <w:szCs w:val="20"/>
        </w:rPr>
        <w:t>Zinc phosphide rodenticides are minimally toxic to dogs and do not require veterinary care</w:t>
      </w:r>
    </w:p>
    <w:p w14:paraId="68FAB491" w14:textId="682911A8" w:rsidR="00293804" w:rsidRPr="00293804" w:rsidRDefault="00293804" w:rsidP="00293804">
      <w:pPr>
        <w:pStyle w:val="ListParagraph"/>
        <w:numPr>
          <w:ilvl w:val="1"/>
          <w:numId w:val="6"/>
        </w:numPr>
        <w:rPr>
          <w:sz w:val="20"/>
          <w:szCs w:val="20"/>
        </w:rPr>
      </w:pPr>
      <w:r>
        <w:rPr>
          <w:sz w:val="20"/>
          <w:szCs w:val="20"/>
        </w:rPr>
        <w:t xml:space="preserve"> </w:t>
      </w:r>
      <w:r w:rsidR="001710E3">
        <w:rPr>
          <w:sz w:val="20"/>
          <w:szCs w:val="20"/>
        </w:rPr>
        <w:t>If the patient vomits at home, owners should wear gloves to clean the vomitus as transcutaneous routes of exposure have been reported in humans</w:t>
      </w:r>
      <w:bookmarkStart w:id="0" w:name="_GoBack"/>
      <w:bookmarkEnd w:id="0"/>
    </w:p>
    <w:sectPr w:rsidR="00293804" w:rsidRPr="00293804" w:rsidSect="008D2E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E39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A5034C0"/>
    <w:multiLevelType w:val="hybridMultilevel"/>
    <w:tmpl w:val="2F26454C"/>
    <w:lvl w:ilvl="0" w:tplc="072EE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561399"/>
    <w:multiLevelType w:val="hybridMultilevel"/>
    <w:tmpl w:val="0C3C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880EEF"/>
    <w:multiLevelType w:val="hybridMultilevel"/>
    <w:tmpl w:val="49B6358C"/>
    <w:lvl w:ilvl="0" w:tplc="072EEC2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4C716E"/>
    <w:multiLevelType w:val="hybridMultilevel"/>
    <w:tmpl w:val="9E0A5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9C5A88"/>
    <w:multiLevelType w:val="hybridMultilevel"/>
    <w:tmpl w:val="A0DA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8BC"/>
    <w:rsid w:val="000120CA"/>
    <w:rsid w:val="000467A5"/>
    <w:rsid w:val="001710E3"/>
    <w:rsid w:val="00293804"/>
    <w:rsid w:val="004157AE"/>
    <w:rsid w:val="005766A7"/>
    <w:rsid w:val="008538BC"/>
    <w:rsid w:val="008D2E9F"/>
    <w:rsid w:val="00F95A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6AB0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8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38BC"/>
    <w:rPr>
      <w:rFonts w:ascii="Lucida Grande" w:hAnsi="Lucida Grande" w:cs="Lucida Grande"/>
      <w:sz w:val="18"/>
      <w:szCs w:val="18"/>
    </w:rPr>
  </w:style>
  <w:style w:type="paragraph" w:styleId="ListParagraph">
    <w:name w:val="List Paragraph"/>
    <w:basedOn w:val="Normal"/>
    <w:uiPriority w:val="34"/>
    <w:qFormat/>
    <w:rsid w:val="000120C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8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38BC"/>
    <w:rPr>
      <w:rFonts w:ascii="Lucida Grande" w:hAnsi="Lucida Grande" w:cs="Lucida Grande"/>
      <w:sz w:val="18"/>
      <w:szCs w:val="18"/>
    </w:rPr>
  </w:style>
  <w:style w:type="paragraph" w:styleId="ListParagraph">
    <w:name w:val="List Paragraph"/>
    <w:basedOn w:val="Normal"/>
    <w:uiPriority w:val="34"/>
    <w:qFormat/>
    <w:rsid w:val="00012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510</Words>
  <Characters>2909</Characters>
  <Application>Microsoft Macintosh Word</Application>
  <DocSecurity>0</DocSecurity>
  <Lines>24</Lines>
  <Paragraphs>6</Paragraphs>
  <ScaleCrop>false</ScaleCrop>
  <Company>Cornell University</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Blackstock</dc:creator>
  <cp:keywords/>
  <dc:description/>
  <cp:lastModifiedBy>Kelly Blackstock</cp:lastModifiedBy>
  <cp:revision>5</cp:revision>
  <dcterms:created xsi:type="dcterms:W3CDTF">2011-12-01T19:04:00Z</dcterms:created>
  <dcterms:modified xsi:type="dcterms:W3CDTF">2011-12-01T20:30:00Z</dcterms:modified>
</cp:coreProperties>
</file>