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1BD" w:rsidRPr="00F951BD" w:rsidRDefault="00F951BD" w:rsidP="00F951BD">
      <w:pPr>
        <w:spacing w:after="0" w:line="240" w:lineRule="auto"/>
        <w:rPr>
          <w:rFonts w:cstheme="minorHAnsi"/>
          <w:sz w:val="20"/>
          <w:szCs w:val="20"/>
        </w:rPr>
      </w:pPr>
      <w:proofErr w:type="spellStart"/>
      <w:r w:rsidRPr="00F951BD">
        <w:rPr>
          <w:rFonts w:eastAsia="OTNEJMQuadraat" w:cstheme="minorHAnsi"/>
          <w:sz w:val="20"/>
          <w:szCs w:val="20"/>
        </w:rPr>
        <w:t>Rhabdomyolysis</w:t>
      </w:r>
      <w:proofErr w:type="spellEnd"/>
      <w:r w:rsidRPr="00F951BD">
        <w:rPr>
          <w:rFonts w:eastAsia="OTNEJMQuadraat" w:cstheme="minorHAnsi"/>
          <w:sz w:val="20"/>
          <w:szCs w:val="20"/>
        </w:rPr>
        <w:t xml:space="preserve"> and Acute Kidney Injury</w:t>
      </w:r>
      <w:r w:rsidRPr="00F951BD">
        <w:rPr>
          <w:rFonts w:eastAsia="OTNEJMQuadraat" w:cstheme="minorHAnsi"/>
          <w:sz w:val="20"/>
          <w:szCs w:val="20"/>
        </w:rPr>
        <w:t xml:space="preserve">, </w:t>
      </w:r>
      <w:r w:rsidRPr="00F951BD">
        <w:rPr>
          <w:rFonts w:cstheme="minorHAnsi"/>
          <w:sz w:val="20"/>
          <w:szCs w:val="20"/>
        </w:rPr>
        <w:t>Xavier Bosch, M.D</w:t>
      </w:r>
      <w:r w:rsidRPr="00F951BD">
        <w:rPr>
          <w:rFonts w:cstheme="minorHAnsi"/>
          <w:sz w:val="20"/>
          <w:szCs w:val="20"/>
        </w:rPr>
        <w:t xml:space="preserve"> et al</w:t>
      </w:r>
    </w:p>
    <w:p w:rsidR="00307060" w:rsidRDefault="00F951BD" w:rsidP="00F951BD">
      <w:pPr>
        <w:spacing w:after="0" w:line="240" w:lineRule="auto"/>
        <w:rPr>
          <w:rFonts w:cstheme="minorHAnsi"/>
          <w:sz w:val="20"/>
          <w:szCs w:val="20"/>
        </w:rPr>
      </w:pPr>
      <w:r w:rsidRPr="00F951BD">
        <w:rPr>
          <w:rFonts w:cstheme="minorHAnsi"/>
          <w:sz w:val="20"/>
          <w:szCs w:val="20"/>
        </w:rPr>
        <w:t xml:space="preserve">N </w:t>
      </w:r>
      <w:proofErr w:type="spellStart"/>
      <w:r w:rsidRPr="00F951BD">
        <w:rPr>
          <w:rFonts w:cstheme="minorHAnsi"/>
          <w:sz w:val="20"/>
          <w:szCs w:val="20"/>
        </w:rPr>
        <w:t>Engl</w:t>
      </w:r>
      <w:proofErr w:type="spellEnd"/>
      <w:r w:rsidRPr="00F951BD">
        <w:rPr>
          <w:rFonts w:cstheme="minorHAnsi"/>
          <w:sz w:val="20"/>
          <w:szCs w:val="20"/>
        </w:rPr>
        <w:t xml:space="preserve"> J Med 2009</w:t>
      </w:r>
      <w:proofErr w:type="gramStart"/>
      <w:r w:rsidRPr="00F951BD">
        <w:rPr>
          <w:rFonts w:cstheme="minorHAnsi"/>
          <w:sz w:val="20"/>
          <w:szCs w:val="20"/>
        </w:rPr>
        <w:t>;361:62</w:t>
      </w:r>
      <w:proofErr w:type="gramEnd"/>
      <w:r w:rsidRPr="00F951BD">
        <w:rPr>
          <w:rFonts w:cstheme="minorHAnsi"/>
          <w:sz w:val="20"/>
          <w:szCs w:val="20"/>
        </w:rPr>
        <w:t>-72.</w:t>
      </w:r>
    </w:p>
    <w:p w:rsidR="00F951BD" w:rsidRDefault="00F951BD" w:rsidP="00F951BD">
      <w:pPr>
        <w:spacing w:after="0" w:line="240" w:lineRule="auto"/>
        <w:rPr>
          <w:rFonts w:cstheme="minorHAnsi"/>
          <w:sz w:val="20"/>
          <w:szCs w:val="20"/>
        </w:rPr>
      </w:pPr>
    </w:p>
    <w:p w:rsidR="006B29AA" w:rsidRPr="004A189A" w:rsidRDefault="006B29AA" w:rsidP="006B29AA">
      <w:pPr>
        <w:autoSpaceDE w:val="0"/>
        <w:autoSpaceDN w:val="0"/>
        <w:adjustRightInd w:val="0"/>
        <w:spacing w:after="0" w:line="240" w:lineRule="auto"/>
        <w:rPr>
          <w:rFonts w:cstheme="minorHAnsi"/>
          <w:b/>
          <w:sz w:val="24"/>
          <w:szCs w:val="24"/>
        </w:rPr>
      </w:pPr>
      <w:r w:rsidRPr="004A189A">
        <w:rPr>
          <w:rFonts w:cstheme="minorHAnsi"/>
          <w:b/>
          <w:sz w:val="24"/>
          <w:szCs w:val="24"/>
        </w:rPr>
        <w:t>Toxic effects of cyc</w:t>
      </w:r>
      <w:r w:rsidR="004A189A" w:rsidRPr="004A189A">
        <w:rPr>
          <w:rFonts w:cstheme="minorHAnsi"/>
          <w:b/>
          <w:sz w:val="24"/>
          <w:szCs w:val="24"/>
        </w:rPr>
        <w:t xml:space="preserve">lonite (C- 4) plastic explosive </w:t>
      </w:r>
      <w:r w:rsidRPr="004A189A">
        <w:rPr>
          <w:rFonts w:cstheme="minorHAnsi"/>
          <w:b/>
          <w:sz w:val="24"/>
          <w:szCs w:val="24"/>
        </w:rPr>
        <w:t>ingestion in a dog</w:t>
      </w:r>
    </w:p>
    <w:p w:rsidR="006B29AA" w:rsidRPr="004A189A" w:rsidRDefault="006B29AA" w:rsidP="006B29AA">
      <w:pPr>
        <w:autoSpaceDE w:val="0"/>
        <w:autoSpaceDN w:val="0"/>
        <w:adjustRightInd w:val="0"/>
        <w:spacing w:after="0" w:line="240" w:lineRule="auto"/>
        <w:rPr>
          <w:rFonts w:cstheme="minorHAnsi"/>
          <w:sz w:val="18"/>
          <w:szCs w:val="18"/>
        </w:rPr>
      </w:pPr>
      <w:r w:rsidRPr="004A189A">
        <w:rPr>
          <w:rFonts w:cstheme="minorHAnsi"/>
          <w:sz w:val="18"/>
          <w:szCs w:val="18"/>
        </w:rPr>
        <w:t xml:space="preserve">Randi A. </w:t>
      </w:r>
      <w:proofErr w:type="spellStart"/>
      <w:r w:rsidRPr="004A189A">
        <w:rPr>
          <w:rFonts w:cstheme="minorHAnsi"/>
          <w:sz w:val="18"/>
          <w:szCs w:val="18"/>
        </w:rPr>
        <w:t>Fishkin</w:t>
      </w:r>
      <w:proofErr w:type="spellEnd"/>
      <w:r w:rsidRPr="004A189A">
        <w:rPr>
          <w:rFonts w:cstheme="minorHAnsi"/>
          <w:sz w:val="18"/>
          <w:szCs w:val="18"/>
        </w:rPr>
        <w:t>, DVM; Skye W. Stanley, DVM, DACVIM and Cathy E. Langston, DVM, DACVIM</w:t>
      </w:r>
    </w:p>
    <w:p w:rsidR="006B29AA" w:rsidRPr="004A189A" w:rsidRDefault="006B29AA" w:rsidP="006B29AA">
      <w:pPr>
        <w:autoSpaceDE w:val="0"/>
        <w:autoSpaceDN w:val="0"/>
        <w:adjustRightInd w:val="0"/>
        <w:spacing w:after="0" w:line="240" w:lineRule="auto"/>
        <w:rPr>
          <w:rFonts w:cstheme="minorHAnsi"/>
          <w:b/>
          <w:sz w:val="20"/>
          <w:szCs w:val="20"/>
        </w:rPr>
      </w:pPr>
      <w:r w:rsidRPr="004A189A">
        <w:rPr>
          <w:rFonts w:cstheme="minorHAnsi"/>
          <w:b/>
          <w:sz w:val="20"/>
          <w:szCs w:val="20"/>
        </w:rPr>
        <w:t>Abstract</w:t>
      </w:r>
    </w:p>
    <w:p w:rsidR="006B29AA" w:rsidRPr="004A189A" w:rsidRDefault="006B29AA" w:rsidP="006B29AA">
      <w:pPr>
        <w:autoSpaceDE w:val="0"/>
        <w:autoSpaceDN w:val="0"/>
        <w:adjustRightInd w:val="0"/>
        <w:spacing w:after="0" w:line="240" w:lineRule="auto"/>
        <w:rPr>
          <w:rFonts w:cstheme="minorHAnsi"/>
          <w:sz w:val="20"/>
          <w:szCs w:val="20"/>
        </w:rPr>
      </w:pPr>
      <w:r w:rsidRPr="004A189A">
        <w:rPr>
          <w:rFonts w:cstheme="minorHAnsi"/>
          <w:sz w:val="20"/>
          <w:szCs w:val="20"/>
        </w:rPr>
        <w:t>Objective – To describe the clinical manifestations following cyclonite (C-4) plastic explosive ingestion in a</w:t>
      </w:r>
    </w:p>
    <w:p w:rsidR="006B29AA" w:rsidRPr="004A189A" w:rsidRDefault="006B29AA" w:rsidP="006B29A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dog</w:t>
      </w:r>
      <w:proofErr w:type="gramEnd"/>
      <w:r w:rsidRPr="004A189A">
        <w:rPr>
          <w:rFonts w:cstheme="minorHAnsi"/>
          <w:sz w:val="20"/>
          <w:szCs w:val="20"/>
        </w:rPr>
        <w:t>.</w:t>
      </w:r>
    </w:p>
    <w:p w:rsidR="006B29AA" w:rsidRPr="004A189A" w:rsidRDefault="006B29AA" w:rsidP="006B29AA">
      <w:pPr>
        <w:autoSpaceDE w:val="0"/>
        <w:autoSpaceDN w:val="0"/>
        <w:adjustRightInd w:val="0"/>
        <w:spacing w:after="0" w:line="240" w:lineRule="auto"/>
        <w:rPr>
          <w:rFonts w:cstheme="minorHAnsi"/>
          <w:sz w:val="20"/>
          <w:szCs w:val="20"/>
        </w:rPr>
      </w:pPr>
      <w:r w:rsidRPr="004A189A">
        <w:rPr>
          <w:rFonts w:cstheme="minorHAnsi"/>
          <w:b/>
          <w:sz w:val="20"/>
          <w:szCs w:val="20"/>
        </w:rPr>
        <w:t>Case Summary</w:t>
      </w:r>
      <w:r w:rsidRPr="004A189A">
        <w:rPr>
          <w:rFonts w:cstheme="minorHAnsi"/>
          <w:sz w:val="20"/>
          <w:szCs w:val="20"/>
        </w:rPr>
        <w:t xml:space="preserve"> – A 2-year-old male castrated Labrador working dog weighing 35 kg was presented for seizures</w:t>
      </w:r>
    </w:p>
    <w:p w:rsidR="006B29AA" w:rsidRPr="004A189A" w:rsidRDefault="006B29AA" w:rsidP="006B29A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shortly</w:t>
      </w:r>
      <w:proofErr w:type="gramEnd"/>
      <w:r w:rsidRPr="004A189A">
        <w:rPr>
          <w:rFonts w:cstheme="minorHAnsi"/>
          <w:sz w:val="20"/>
          <w:szCs w:val="20"/>
        </w:rPr>
        <w:t xml:space="preserve"> after ingestion of C-4. The dog was successfully treated for the seizures, but developed polyuria/</w:t>
      </w:r>
    </w:p>
    <w:p w:rsidR="006B29AA" w:rsidRPr="004A189A" w:rsidRDefault="006B29AA" w:rsidP="006B29A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polydipsia</w:t>
      </w:r>
      <w:proofErr w:type="gramEnd"/>
      <w:r w:rsidRPr="004A189A">
        <w:rPr>
          <w:rFonts w:cstheme="minorHAnsi"/>
          <w:sz w:val="20"/>
          <w:szCs w:val="20"/>
        </w:rPr>
        <w:t xml:space="preserve"> shortly after being discharged and was ultimately diagnosed with chronic kidney disease.</w:t>
      </w:r>
    </w:p>
    <w:p w:rsidR="006B29AA" w:rsidRPr="004A189A" w:rsidRDefault="006B29AA" w:rsidP="006B29AA">
      <w:pPr>
        <w:autoSpaceDE w:val="0"/>
        <w:autoSpaceDN w:val="0"/>
        <w:adjustRightInd w:val="0"/>
        <w:spacing w:after="0" w:line="240" w:lineRule="auto"/>
        <w:rPr>
          <w:rFonts w:cstheme="minorHAnsi"/>
          <w:sz w:val="20"/>
          <w:szCs w:val="20"/>
        </w:rPr>
      </w:pPr>
      <w:r w:rsidRPr="004A189A">
        <w:rPr>
          <w:rFonts w:cstheme="minorHAnsi"/>
          <w:b/>
          <w:sz w:val="20"/>
          <w:szCs w:val="20"/>
        </w:rPr>
        <w:t xml:space="preserve">New or Unique Information </w:t>
      </w:r>
      <w:proofErr w:type="gramStart"/>
      <w:r w:rsidRPr="004A189A">
        <w:rPr>
          <w:rFonts w:cstheme="minorHAnsi"/>
          <w:b/>
          <w:sz w:val="20"/>
          <w:szCs w:val="20"/>
        </w:rPr>
        <w:t>Provided</w:t>
      </w:r>
      <w:proofErr w:type="gramEnd"/>
      <w:r w:rsidRPr="004A189A">
        <w:rPr>
          <w:rFonts w:cstheme="minorHAnsi"/>
          <w:sz w:val="20"/>
          <w:szCs w:val="20"/>
        </w:rPr>
        <w:t xml:space="preserve"> – This is the first documented case of renal insufficiency in a dog after</w:t>
      </w:r>
    </w:p>
    <w:p w:rsidR="006B29AA" w:rsidRPr="004A189A" w:rsidRDefault="006B29AA" w:rsidP="006B29A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C-4 intoxication.</w:t>
      </w:r>
      <w:proofErr w:type="gramEnd"/>
    </w:p>
    <w:p w:rsidR="00F951BD" w:rsidRDefault="006B29AA" w:rsidP="006B29AA">
      <w:pPr>
        <w:spacing w:after="0" w:line="240" w:lineRule="auto"/>
        <w:rPr>
          <w:rFonts w:cstheme="minorHAnsi"/>
          <w:sz w:val="20"/>
          <w:szCs w:val="20"/>
        </w:rPr>
      </w:pPr>
      <w:r w:rsidRPr="004A189A">
        <w:rPr>
          <w:rFonts w:cstheme="minorHAnsi"/>
          <w:sz w:val="20"/>
          <w:szCs w:val="20"/>
        </w:rPr>
        <w:t xml:space="preserve">J Vet </w:t>
      </w:r>
      <w:proofErr w:type="spellStart"/>
      <w:r w:rsidRPr="004A189A">
        <w:rPr>
          <w:rFonts w:cstheme="minorHAnsi"/>
          <w:sz w:val="20"/>
          <w:szCs w:val="20"/>
        </w:rPr>
        <w:t>Emerg</w:t>
      </w:r>
      <w:proofErr w:type="spellEnd"/>
      <w:r w:rsidRPr="004A189A">
        <w:rPr>
          <w:rFonts w:cstheme="minorHAnsi"/>
          <w:sz w:val="20"/>
          <w:szCs w:val="20"/>
        </w:rPr>
        <w:t xml:space="preserve"> </w:t>
      </w:r>
      <w:proofErr w:type="spellStart"/>
      <w:r w:rsidRPr="004A189A">
        <w:rPr>
          <w:rFonts w:cstheme="minorHAnsi"/>
          <w:sz w:val="20"/>
          <w:szCs w:val="20"/>
        </w:rPr>
        <w:t>Crit</w:t>
      </w:r>
      <w:proofErr w:type="spellEnd"/>
      <w:r w:rsidRPr="004A189A">
        <w:rPr>
          <w:rFonts w:cstheme="minorHAnsi"/>
          <w:sz w:val="20"/>
          <w:szCs w:val="20"/>
        </w:rPr>
        <w:t xml:space="preserve"> Care 2008; 18(5): 537–540</w:t>
      </w:r>
    </w:p>
    <w:p w:rsidR="004A189A" w:rsidRDefault="004A189A" w:rsidP="006B29AA">
      <w:pPr>
        <w:spacing w:after="0" w:line="240" w:lineRule="auto"/>
        <w:rPr>
          <w:rFonts w:cstheme="minorHAnsi"/>
          <w:sz w:val="20"/>
          <w:szCs w:val="20"/>
        </w:rPr>
      </w:pPr>
    </w:p>
    <w:p w:rsidR="004A189A" w:rsidRPr="004A189A" w:rsidRDefault="004A189A" w:rsidP="004A189A">
      <w:pPr>
        <w:autoSpaceDE w:val="0"/>
        <w:autoSpaceDN w:val="0"/>
        <w:adjustRightInd w:val="0"/>
        <w:spacing w:after="0" w:line="240" w:lineRule="auto"/>
        <w:rPr>
          <w:rFonts w:cstheme="minorHAnsi"/>
          <w:b/>
          <w:bCs/>
          <w:sz w:val="24"/>
          <w:szCs w:val="24"/>
        </w:rPr>
      </w:pPr>
      <w:r w:rsidRPr="004A189A">
        <w:rPr>
          <w:rFonts w:cstheme="minorHAnsi"/>
          <w:b/>
          <w:bCs/>
          <w:sz w:val="24"/>
          <w:szCs w:val="24"/>
        </w:rPr>
        <w:t>Propylene glycol intoxication in a dog</w:t>
      </w:r>
    </w:p>
    <w:p w:rsidR="004A189A" w:rsidRPr="004A189A" w:rsidRDefault="004A189A" w:rsidP="004A189A">
      <w:pPr>
        <w:autoSpaceDE w:val="0"/>
        <w:autoSpaceDN w:val="0"/>
        <w:adjustRightInd w:val="0"/>
        <w:spacing w:after="0" w:line="240" w:lineRule="auto"/>
        <w:rPr>
          <w:rFonts w:cstheme="minorHAnsi"/>
          <w:sz w:val="18"/>
          <w:szCs w:val="18"/>
        </w:rPr>
      </w:pPr>
      <w:r w:rsidRPr="004A189A">
        <w:rPr>
          <w:rFonts w:cstheme="minorHAnsi"/>
          <w:sz w:val="18"/>
          <w:szCs w:val="18"/>
        </w:rPr>
        <w:t xml:space="preserve">Melissa A. Claus, DVM, DACVECC; Karl E. </w:t>
      </w:r>
      <w:proofErr w:type="spellStart"/>
      <w:r w:rsidRPr="004A189A">
        <w:rPr>
          <w:rFonts w:cstheme="minorHAnsi"/>
          <w:sz w:val="18"/>
          <w:szCs w:val="18"/>
        </w:rPr>
        <w:t>Jandrey</w:t>
      </w:r>
      <w:proofErr w:type="spellEnd"/>
      <w:r w:rsidRPr="004A189A">
        <w:rPr>
          <w:rFonts w:cstheme="minorHAnsi"/>
          <w:sz w:val="18"/>
          <w:szCs w:val="18"/>
        </w:rPr>
        <w:t>, DVM, DACVECC and</w:t>
      </w:r>
    </w:p>
    <w:p w:rsidR="004A189A" w:rsidRPr="004A189A" w:rsidRDefault="004A189A" w:rsidP="004A189A">
      <w:pPr>
        <w:autoSpaceDE w:val="0"/>
        <w:autoSpaceDN w:val="0"/>
        <w:adjustRightInd w:val="0"/>
        <w:spacing w:after="0" w:line="240" w:lineRule="auto"/>
        <w:rPr>
          <w:rFonts w:cstheme="minorHAnsi"/>
          <w:sz w:val="18"/>
          <w:szCs w:val="18"/>
        </w:rPr>
      </w:pPr>
      <w:r w:rsidRPr="004A189A">
        <w:rPr>
          <w:rFonts w:cstheme="minorHAnsi"/>
          <w:sz w:val="18"/>
          <w:szCs w:val="18"/>
        </w:rPr>
        <w:t xml:space="preserve">Robert H. </w:t>
      </w:r>
      <w:proofErr w:type="spellStart"/>
      <w:r w:rsidRPr="004A189A">
        <w:rPr>
          <w:rFonts w:cstheme="minorHAnsi"/>
          <w:sz w:val="18"/>
          <w:szCs w:val="18"/>
        </w:rPr>
        <w:t>Poppenga</w:t>
      </w:r>
      <w:proofErr w:type="spellEnd"/>
      <w:r w:rsidRPr="004A189A">
        <w:rPr>
          <w:rFonts w:cstheme="minorHAnsi"/>
          <w:sz w:val="18"/>
          <w:szCs w:val="18"/>
        </w:rPr>
        <w:t>, DVM, PhD, DABVT</w:t>
      </w:r>
    </w:p>
    <w:p w:rsidR="004A189A" w:rsidRPr="004A189A" w:rsidRDefault="004A189A" w:rsidP="004A189A">
      <w:pPr>
        <w:autoSpaceDE w:val="0"/>
        <w:autoSpaceDN w:val="0"/>
        <w:adjustRightInd w:val="0"/>
        <w:spacing w:after="0" w:line="240" w:lineRule="auto"/>
        <w:rPr>
          <w:rFonts w:cstheme="minorHAnsi"/>
          <w:b/>
          <w:bCs/>
          <w:sz w:val="20"/>
          <w:szCs w:val="20"/>
        </w:rPr>
      </w:pPr>
      <w:r w:rsidRPr="004A189A">
        <w:rPr>
          <w:rFonts w:cstheme="minorHAnsi"/>
          <w:b/>
          <w:bCs/>
          <w:sz w:val="20"/>
          <w:szCs w:val="20"/>
        </w:rPr>
        <w:t>Abstract</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b/>
          <w:bCs/>
          <w:sz w:val="20"/>
          <w:szCs w:val="20"/>
        </w:rPr>
        <w:t xml:space="preserve">Objective </w:t>
      </w:r>
      <w:r w:rsidRPr="004A189A">
        <w:rPr>
          <w:rFonts w:cstheme="minorHAnsi"/>
          <w:sz w:val="20"/>
          <w:szCs w:val="20"/>
        </w:rPr>
        <w:t>– To describe the clinical course, treatment, and outcome of a dog with propylene glycol intoxication.</w:t>
      </w:r>
      <w:proofErr w:type="gramEnd"/>
    </w:p>
    <w:p w:rsidR="004A189A" w:rsidRPr="004A189A" w:rsidRDefault="004A189A" w:rsidP="004A189A">
      <w:pPr>
        <w:autoSpaceDE w:val="0"/>
        <w:autoSpaceDN w:val="0"/>
        <w:adjustRightInd w:val="0"/>
        <w:spacing w:after="0" w:line="240" w:lineRule="auto"/>
        <w:rPr>
          <w:rFonts w:cstheme="minorHAnsi"/>
          <w:sz w:val="20"/>
          <w:szCs w:val="20"/>
        </w:rPr>
      </w:pPr>
      <w:r w:rsidRPr="004A189A">
        <w:rPr>
          <w:rFonts w:cstheme="minorHAnsi"/>
          <w:b/>
          <w:bCs/>
          <w:sz w:val="20"/>
          <w:szCs w:val="20"/>
        </w:rPr>
        <w:t xml:space="preserve">Case Summary </w:t>
      </w:r>
      <w:r w:rsidRPr="004A189A">
        <w:rPr>
          <w:rFonts w:cstheme="minorHAnsi"/>
          <w:sz w:val="20"/>
          <w:szCs w:val="20"/>
        </w:rPr>
        <w:t>– An adult castrated male Australian cattle dog presented to an emergency clinic for an acute</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onset</w:t>
      </w:r>
      <w:proofErr w:type="gramEnd"/>
      <w:r w:rsidRPr="004A189A">
        <w:rPr>
          <w:rFonts w:cstheme="minorHAnsi"/>
          <w:sz w:val="20"/>
          <w:szCs w:val="20"/>
        </w:rPr>
        <w:t xml:space="preserve"> of ataxia and disorientation after roaming a construction site unsupervised. He tested positive for ethylene</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glycol</w:t>
      </w:r>
      <w:proofErr w:type="gramEnd"/>
      <w:r w:rsidRPr="004A189A">
        <w:rPr>
          <w:rFonts w:cstheme="minorHAnsi"/>
          <w:sz w:val="20"/>
          <w:szCs w:val="20"/>
        </w:rPr>
        <w:t xml:space="preserve"> using a point-of-care test kit. Treatment for ethylene glycol intoxication included intermittent intravenous</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boluses</w:t>
      </w:r>
      <w:proofErr w:type="gramEnd"/>
      <w:r w:rsidRPr="004A189A">
        <w:rPr>
          <w:rFonts w:cstheme="minorHAnsi"/>
          <w:sz w:val="20"/>
          <w:szCs w:val="20"/>
        </w:rPr>
        <w:t xml:space="preserve"> of 20% ethanol and hemodialysis. </w:t>
      </w:r>
      <w:proofErr w:type="spellStart"/>
      <w:r w:rsidRPr="004A189A">
        <w:rPr>
          <w:rFonts w:cstheme="minorHAnsi"/>
          <w:sz w:val="20"/>
          <w:szCs w:val="20"/>
        </w:rPr>
        <w:t>Predialysis</w:t>
      </w:r>
      <w:proofErr w:type="spellEnd"/>
      <w:r w:rsidRPr="004A189A">
        <w:rPr>
          <w:rFonts w:cstheme="minorHAnsi"/>
          <w:sz w:val="20"/>
          <w:szCs w:val="20"/>
        </w:rPr>
        <w:t xml:space="preserve"> and </w:t>
      </w:r>
      <w:proofErr w:type="spellStart"/>
      <w:r w:rsidRPr="004A189A">
        <w:rPr>
          <w:rFonts w:cstheme="minorHAnsi"/>
          <w:sz w:val="20"/>
          <w:szCs w:val="20"/>
        </w:rPr>
        <w:t>postdialysis</w:t>
      </w:r>
      <w:proofErr w:type="spellEnd"/>
      <w:r w:rsidRPr="004A189A">
        <w:rPr>
          <w:rFonts w:cstheme="minorHAnsi"/>
          <w:sz w:val="20"/>
          <w:szCs w:val="20"/>
        </w:rPr>
        <w:t xml:space="preserve"> blood samples were submitted to the</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toxicology</w:t>
      </w:r>
      <w:proofErr w:type="gramEnd"/>
      <w:r w:rsidRPr="004A189A">
        <w:rPr>
          <w:rFonts w:cstheme="minorHAnsi"/>
          <w:sz w:val="20"/>
          <w:szCs w:val="20"/>
        </w:rPr>
        <w:t xml:space="preserve"> lab to assess for both ethylene and propylene glycol. The patient tested negative for ethylene glycol</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and</w:t>
      </w:r>
      <w:proofErr w:type="gramEnd"/>
      <w:r w:rsidRPr="004A189A">
        <w:rPr>
          <w:rFonts w:cstheme="minorHAnsi"/>
          <w:sz w:val="20"/>
          <w:szCs w:val="20"/>
        </w:rPr>
        <w:t xml:space="preserve"> positive for propylene glycol at 1100 mg/</w:t>
      </w:r>
      <w:proofErr w:type="spellStart"/>
      <w:r w:rsidRPr="004A189A">
        <w:rPr>
          <w:rFonts w:cstheme="minorHAnsi"/>
          <w:sz w:val="20"/>
          <w:szCs w:val="20"/>
        </w:rPr>
        <w:t>dL</w:t>
      </w:r>
      <w:proofErr w:type="spellEnd"/>
      <w:r w:rsidRPr="004A189A">
        <w:rPr>
          <w:rFonts w:cstheme="minorHAnsi"/>
          <w:sz w:val="20"/>
          <w:szCs w:val="20"/>
        </w:rPr>
        <w:t xml:space="preserve"> </w:t>
      </w:r>
      <w:proofErr w:type="spellStart"/>
      <w:r w:rsidRPr="004A189A">
        <w:rPr>
          <w:rFonts w:cstheme="minorHAnsi"/>
          <w:sz w:val="20"/>
          <w:szCs w:val="20"/>
        </w:rPr>
        <w:t>predialysis</w:t>
      </w:r>
      <w:proofErr w:type="spellEnd"/>
      <w:r w:rsidRPr="004A189A">
        <w:rPr>
          <w:rFonts w:cstheme="minorHAnsi"/>
          <w:sz w:val="20"/>
          <w:szCs w:val="20"/>
        </w:rPr>
        <w:t xml:space="preserve"> and 23 mg/</w:t>
      </w:r>
      <w:proofErr w:type="spellStart"/>
      <w:r w:rsidRPr="004A189A">
        <w:rPr>
          <w:rFonts w:cstheme="minorHAnsi"/>
          <w:sz w:val="20"/>
          <w:szCs w:val="20"/>
        </w:rPr>
        <w:t>dL</w:t>
      </w:r>
      <w:proofErr w:type="spellEnd"/>
      <w:r w:rsidRPr="004A189A">
        <w:rPr>
          <w:rFonts w:cstheme="minorHAnsi"/>
          <w:sz w:val="20"/>
          <w:szCs w:val="20"/>
        </w:rPr>
        <w:t xml:space="preserve"> </w:t>
      </w:r>
      <w:proofErr w:type="spellStart"/>
      <w:r w:rsidRPr="004A189A">
        <w:rPr>
          <w:rFonts w:cstheme="minorHAnsi"/>
          <w:sz w:val="20"/>
          <w:szCs w:val="20"/>
        </w:rPr>
        <w:t>postdialysis</w:t>
      </w:r>
      <w:proofErr w:type="spellEnd"/>
      <w:r w:rsidRPr="004A189A">
        <w:rPr>
          <w:rFonts w:cstheme="minorHAnsi"/>
          <w:sz w:val="20"/>
          <w:szCs w:val="20"/>
        </w:rPr>
        <w:t>. The dog made a full</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recovery</w:t>
      </w:r>
      <w:proofErr w:type="gramEnd"/>
      <w:r w:rsidRPr="004A189A">
        <w:rPr>
          <w:rFonts w:cstheme="minorHAnsi"/>
          <w:sz w:val="20"/>
          <w:szCs w:val="20"/>
        </w:rPr>
        <w:t>.</w:t>
      </w:r>
    </w:p>
    <w:p w:rsidR="004A189A" w:rsidRPr="004A189A" w:rsidRDefault="004A189A" w:rsidP="004A189A">
      <w:pPr>
        <w:autoSpaceDE w:val="0"/>
        <w:autoSpaceDN w:val="0"/>
        <w:adjustRightInd w:val="0"/>
        <w:spacing w:after="0" w:line="240" w:lineRule="auto"/>
        <w:rPr>
          <w:rFonts w:cstheme="minorHAnsi"/>
          <w:sz w:val="20"/>
          <w:szCs w:val="20"/>
        </w:rPr>
      </w:pPr>
      <w:r w:rsidRPr="004A189A">
        <w:rPr>
          <w:rFonts w:cstheme="minorHAnsi"/>
          <w:b/>
          <w:bCs/>
          <w:sz w:val="20"/>
          <w:szCs w:val="20"/>
        </w:rPr>
        <w:t xml:space="preserve">New or Unique Information Provided </w:t>
      </w:r>
      <w:r w:rsidRPr="004A189A">
        <w:rPr>
          <w:rFonts w:cstheme="minorHAnsi"/>
          <w:sz w:val="20"/>
          <w:szCs w:val="20"/>
        </w:rPr>
        <w:t>– To the authors’ knowledge, this is the first report of documented</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propylene</w:t>
      </w:r>
      <w:proofErr w:type="gramEnd"/>
      <w:r w:rsidRPr="004A189A">
        <w:rPr>
          <w:rFonts w:cstheme="minorHAnsi"/>
          <w:sz w:val="20"/>
          <w:szCs w:val="20"/>
        </w:rPr>
        <w:t xml:space="preserve"> glycol intoxication in a dog, as well as the first report to describe hemodialysis as treatment for</w:t>
      </w:r>
    </w:p>
    <w:p w:rsidR="004A189A" w:rsidRPr="004A189A" w:rsidRDefault="004A189A" w:rsidP="004A189A">
      <w:pPr>
        <w:autoSpaceDE w:val="0"/>
        <w:autoSpaceDN w:val="0"/>
        <w:adjustRightInd w:val="0"/>
        <w:spacing w:after="0" w:line="240" w:lineRule="auto"/>
        <w:rPr>
          <w:rFonts w:cstheme="minorHAnsi"/>
          <w:sz w:val="20"/>
          <w:szCs w:val="20"/>
        </w:rPr>
      </w:pPr>
      <w:proofErr w:type="gramStart"/>
      <w:r w:rsidRPr="004A189A">
        <w:rPr>
          <w:rFonts w:cstheme="minorHAnsi"/>
          <w:sz w:val="20"/>
          <w:szCs w:val="20"/>
        </w:rPr>
        <w:t>propylene</w:t>
      </w:r>
      <w:proofErr w:type="gramEnd"/>
      <w:r w:rsidRPr="004A189A">
        <w:rPr>
          <w:rFonts w:cstheme="minorHAnsi"/>
          <w:sz w:val="20"/>
          <w:szCs w:val="20"/>
        </w:rPr>
        <w:t xml:space="preserve"> glycol intoxication in a dog.</w:t>
      </w:r>
    </w:p>
    <w:p w:rsidR="004A189A" w:rsidRDefault="004A189A" w:rsidP="004A189A">
      <w:pPr>
        <w:spacing w:after="0" w:line="240" w:lineRule="auto"/>
        <w:rPr>
          <w:rFonts w:cstheme="minorHAnsi"/>
          <w:i/>
          <w:iCs/>
          <w:sz w:val="20"/>
          <w:szCs w:val="20"/>
        </w:rPr>
      </w:pPr>
      <w:r w:rsidRPr="004A189A">
        <w:rPr>
          <w:rFonts w:cstheme="minorHAnsi"/>
          <w:i/>
          <w:iCs/>
          <w:sz w:val="20"/>
          <w:szCs w:val="20"/>
        </w:rPr>
        <w:t xml:space="preserve">J Vet </w:t>
      </w:r>
      <w:proofErr w:type="spellStart"/>
      <w:r w:rsidRPr="004A189A">
        <w:rPr>
          <w:rFonts w:cstheme="minorHAnsi"/>
          <w:i/>
          <w:iCs/>
          <w:sz w:val="20"/>
          <w:szCs w:val="20"/>
        </w:rPr>
        <w:t>Emerg</w:t>
      </w:r>
      <w:proofErr w:type="spellEnd"/>
      <w:r w:rsidRPr="004A189A">
        <w:rPr>
          <w:rFonts w:cstheme="minorHAnsi"/>
          <w:i/>
          <w:iCs/>
          <w:sz w:val="20"/>
          <w:szCs w:val="20"/>
        </w:rPr>
        <w:t xml:space="preserve"> </w:t>
      </w:r>
      <w:proofErr w:type="spellStart"/>
      <w:r>
        <w:rPr>
          <w:rFonts w:cstheme="minorHAnsi"/>
          <w:i/>
          <w:iCs/>
          <w:sz w:val="20"/>
          <w:szCs w:val="20"/>
        </w:rPr>
        <w:t>Crit</w:t>
      </w:r>
      <w:proofErr w:type="spellEnd"/>
      <w:r>
        <w:rPr>
          <w:rFonts w:cstheme="minorHAnsi"/>
          <w:i/>
          <w:iCs/>
          <w:sz w:val="20"/>
          <w:szCs w:val="20"/>
        </w:rPr>
        <w:t xml:space="preserve"> Care 2011; 21(6): 679–683</w:t>
      </w:r>
    </w:p>
    <w:p w:rsidR="009D0051" w:rsidRDefault="009D0051" w:rsidP="004A189A">
      <w:pPr>
        <w:spacing w:after="0" w:line="240" w:lineRule="auto"/>
        <w:rPr>
          <w:rFonts w:cstheme="minorHAnsi"/>
          <w:i/>
          <w:iCs/>
          <w:sz w:val="20"/>
          <w:szCs w:val="20"/>
        </w:rPr>
      </w:pPr>
    </w:p>
    <w:p w:rsidR="009D0051" w:rsidRPr="009D0051" w:rsidRDefault="009D0051" w:rsidP="004A189A">
      <w:pPr>
        <w:spacing w:after="0" w:line="240" w:lineRule="auto"/>
        <w:rPr>
          <w:rFonts w:cstheme="minorHAnsi"/>
          <w:sz w:val="20"/>
          <w:szCs w:val="20"/>
        </w:rPr>
      </w:pPr>
      <w:r w:rsidRPr="009D0051">
        <w:rPr>
          <w:b/>
        </w:rPr>
        <w:t xml:space="preserve">Pathological findings in dogs after multiple Africanized bee stings </w:t>
      </w:r>
      <w:r w:rsidRPr="009D0051">
        <w:rPr>
          <w:b/>
        </w:rPr>
        <w:br/>
      </w:r>
      <w:r w:rsidRPr="009D0051">
        <w:rPr>
          <w:sz w:val="18"/>
          <w:szCs w:val="18"/>
        </w:rPr>
        <w:t xml:space="preserve">Eduardo C. </w:t>
      </w:r>
      <w:proofErr w:type="spellStart"/>
      <w:r w:rsidRPr="009D0051">
        <w:rPr>
          <w:sz w:val="18"/>
          <w:szCs w:val="18"/>
        </w:rPr>
        <w:t>Oliveiraa</w:t>
      </w:r>
      <w:proofErr w:type="spellEnd"/>
      <w:r w:rsidRPr="009D0051">
        <w:rPr>
          <w:sz w:val="18"/>
          <w:szCs w:val="18"/>
        </w:rPr>
        <w:t xml:space="preserve">, Pedro M.O. </w:t>
      </w:r>
      <w:proofErr w:type="spellStart"/>
      <w:r w:rsidRPr="009D0051">
        <w:rPr>
          <w:sz w:val="18"/>
          <w:szCs w:val="18"/>
        </w:rPr>
        <w:t>Pedrosoa</w:t>
      </w:r>
      <w:proofErr w:type="spellEnd"/>
      <w:r w:rsidRPr="009D0051">
        <w:rPr>
          <w:sz w:val="18"/>
          <w:szCs w:val="18"/>
        </w:rPr>
        <w:t xml:space="preserve">, Adriana E.W.B. </w:t>
      </w:r>
      <w:proofErr w:type="spellStart"/>
      <w:r w:rsidRPr="009D0051">
        <w:rPr>
          <w:sz w:val="18"/>
          <w:szCs w:val="18"/>
        </w:rPr>
        <w:t>Meirellesa</w:t>
      </w:r>
      <w:proofErr w:type="spellEnd"/>
      <w:r w:rsidRPr="009D0051">
        <w:rPr>
          <w:sz w:val="18"/>
          <w:szCs w:val="18"/>
        </w:rPr>
        <w:t xml:space="preserve">, Caroline A. </w:t>
      </w:r>
      <w:proofErr w:type="spellStart"/>
      <w:r w:rsidRPr="009D0051">
        <w:rPr>
          <w:sz w:val="18"/>
          <w:szCs w:val="18"/>
        </w:rPr>
        <w:t>Pescadora</w:t>
      </w:r>
      <w:proofErr w:type="spellEnd"/>
      <w:r w:rsidRPr="009D0051">
        <w:rPr>
          <w:sz w:val="18"/>
          <w:szCs w:val="18"/>
        </w:rPr>
        <w:t xml:space="preserve">, </w:t>
      </w:r>
      <w:proofErr w:type="spellStart"/>
      <w:r w:rsidRPr="009D0051">
        <w:rPr>
          <w:sz w:val="18"/>
          <w:szCs w:val="18"/>
        </w:rPr>
        <w:t>Aline</w:t>
      </w:r>
      <w:proofErr w:type="spellEnd"/>
      <w:r w:rsidRPr="009D0051">
        <w:rPr>
          <w:sz w:val="18"/>
          <w:szCs w:val="18"/>
        </w:rPr>
        <w:t xml:space="preserve"> S. </w:t>
      </w:r>
      <w:proofErr w:type="spellStart"/>
      <w:r w:rsidRPr="009D0051">
        <w:rPr>
          <w:sz w:val="18"/>
          <w:szCs w:val="18"/>
        </w:rPr>
        <w:t>Gouvêab</w:t>
      </w:r>
      <w:proofErr w:type="spellEnd"/>
      <w:r w:rsidRPr="009D0051">
        <w:rPr>
          <w:sz w:val="18"/>
          <w:szCs w:val="18"/>
        </w:rPr>
        <w:t xml:space="preserve"> and David </w:t>
      </w:r>
      <w:proofErr w:type="spellStart"/>
      <w:r w:rsidRPr="009D0051">
        <w:rPr>
          <w:sz w:val="18"/>
          <w:szCs w:val="18"/>
        </w:rPr>
        <w:t>Driemeiera</w:t>
      </w:r>
      <w:proofErr w:type="spellEnd"/>
      <w:proofErr w:type="gramStart"/>
      <w:r w:rsidRPr="009D0051">
        <w:rPr>
          <w:sz w:val="18"/>
          <w:szCs w:val="18"/>
        </w:rPr>
        <w:t>,</w:t>
      </w:r>
      <w:proofErr w:type="gramEnd"/>
      <w:r>
        <w:br/>
      </w:r>
      <w:proofErr w:type="spellStart"/>
      <w:r>
        <w:t>Toxicon</w:t>
      </w:r>
      <w:proofErr w:type="spellEnd"/>
      <w:r>
        <w:t xml:space="preserve">. Volume 49, Issue 8, 15 June 2007, Pages 1214-1218 </w:t>
      </w:r>
      <w:r>
        <w:br/>
      </w:r>
      <w:proofErr w:type="gramStart"/>
      <w:r w:rsidRPr="009D0051">
        <w:rPr>
          <w:b/>
        </w:rPr>
        <w:t>Abstract</w:t>
      </w:r>
      <w:proofErr w:type="gramEnd"/>
      <w:r>
        <w:br/>
        <w:t xml:space="preserve">This retrospective study included 19 dogs that died by intoxication due to multiple Africanized bee stings. Bee accidents occurred in rural and urban areas of the Rio Grande do </w:t>
      </w:r>
      <w:proofErr w:type="spellStart"/>
      <w:r>
        <w:t>Sul</w:t>
      </w:r>
      <w:proofErr w:type="spellEnd"/>
      <w:r>
        <w:t xml:space="preserve"> state, southern Brazil. Although bee stings were associated with edema and hyperemia in several regions of the body, head and neck were the most commonly and massively affected areas. Stingers and bees were also observed in the digestive tract. Dark-colored kidneys, dark-red urine, splenomegaly, and dark red lungs were the main gross changes. Histologically, all the dogs had kidney tubular degeneration and necrosis, which were associated with tubular pigment accumulation in most cases. Other lesions included muscular necrosis, hemorrhage in different organs, marked congestion of the spleen and pulmonary edema and congestion.</w:t>
      </w:r>
      <w:bookmarkStart w:id="0" w:name="_GoBack"/>
      <w:bookmarkEnd w:id="0"/>
    </w:p>
    <w:sectPr w:rsidR="009D0051" w:rsidRPr="009D0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TNEJMQuadraat">
    <w:altName w:val="Arial Unicode MS"/>
    <w:panose1 w:val="00000000000000000000"/>
    <w:charset w:val="86"/>
    <w:family w:val="roman"/>
    <w:notTrueType/>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1BD"/>
    <w:rsid w:val="00307060"/>
    <w:rsid w:val="004A189A"/>
    <w:rsid w:val="006B29AA"/>
    <w:rsid w:val="009D0051"/>
    <w:rsid w:val="00C13029"/>
    <w:rsid w:val="00F95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 Blackstock</dc:creator>
  <cp:lastModifiedBy>Kelly J. Blackstock</cp:lastModifiedBy>
  <cp:revision>2</cp:revision>
  <dcterms:created xsi:type="dcterms:W3CDTF">2012-04-10T15:11:00Z</dcterms:created>
  <dcterms:modified xsi:type="dcterms:W3CDTF">2012-04-10T18:21:00Z</dcterms:modified>
</cp:coreProperties>
</file>