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4151E" w14:textId="77777777" w:rsidR="008D2E9F" w:rsidRDefault="0064630F">
      <w:r>
        <w:t>Literature review 2.2.12</w:t>
      </w:r>
    </w:p>
    <w:p w14:paraId="4B4B178F" w14:textId="77777777" w:rsidR="0064630F" w:rsidRDefault="0064630F">
      <w:r>
        <w:rPr>
          <w:noProof/>
        </w:rPr>
        <w:drawing>
          <wp:inline distT="0" distB="0" distL="0" distR="0" wp14:anchorId="59B1F242" wp14:editId="1AA7BBD3">
            <wp:extent cx="6061385" cy="32539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832" cy="325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3A5DD" w14:textId="77777777" w:rsidR="0064630F" w:rsidRDefault="0064630F">
      <w:pPr>
        <w:rPr>
          <w:b/>
          <w:sz w:val="22"/>
          <w:szCs w:val="22"/>
        </w:rPr>
      </w:pPr>
    </w:p>
    <w:p w14:paraId="448ECBC1" w14:textId="77777777" w:rsidR="0064630F" w:rsidRDefault="0064630F">
      <w:pPr>
        <w:rPr>
          <w:b/>
          <w:sz w:val="22"/>
          <w:szCs w:val="22"/>
        </w:rPr>
      </w:pPr>
      <w:r>
        <w:rPr>
          <w:b/>
          <w:sz w:val="22"/>
          <w:szCs w:val="22"/>
        </w:rPr>
        <w:t>KEY POINTS:</w:t>
      </w:r>
    </w:p>
    <w:p w14:paraId="352B74FE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MAT testing is not reliable in acute cases of leptospirosis, lead to dvpmt of PCR</w:t>
      </w:r>
    </w:p>
    <w:p w14:paraId="5F3411DB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Killed viral vax have shown to potentially interfere with real-time PCR</w:t>
      </w:r>
    </w:p>
    <w:p w14:paraId="6B9DF9BD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18/20 dogs mounted a positive MAR response by day 7</w:t>
      </w:r>
    </w:p>
    <w:p w14:paraId="2682B92E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Both 4-way vax were positive (purified vax and dilute 1:100) on PCR</w:t>
      </w:r>
    </w:p>
    <w:p w14:paraId="0006D462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All 20 dogs were negative at all points for Lepto DNA</w:t>
      </w:r>
    </w:p>
    <w:p w14:paraId="210E6FB2" w14:textId="77777777" w:rsidR="0064630F" w:rsidRPr="0064630F" w:rsidRDefault="0064630F" w:rsidP="0064630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This indicates that there is no clinically relevant interference of recent vax with PCR for Lepto and that this modality can be recommended even in these dogs</w:t>
      </w:r>
    </w:p>
    <w:p w14:paraId="41DFCD11" w14:textId="77777777" w:rsidR="0064630F" w:rsidRDefault="0064630F" w:rsidP="0064630F">
      <w:pPr>
        <w:rPr>
          <w:b/>
          <w:sz w:val="22"/>
          <w:szCs w:val="22"/>
        </w:rPr>
      </w:pPr>
    </w:p>
    <w:p w14:paraId="41CADEA4" w14:textId="77777777" w:rsidR="0064630F" w:rsidRDefault="002F1A35" w:rsidP="0064630F">
      <w:pPr>
        <w:rPr>
          <w:b/>
          <w:sz w:val="22"/>
          <w:szCs w:val="22"/>
        </w:rPr>
      </w:pPr>
      <w:r>
        <w:rPr>
          <w:b/>
          <w:sz w:val="22"/>
          <w:szCs w:val="22"/>
        </w:rPr>
        <w:t>QUESTION</w:t>
      </w:r>
      <w:r w:rsidR="0064630F">
        <w:rPr>
          <w:b/>
          <w:sz w:val="22"/>
          <w:szCs w:val="22"/>
        </w:rPr>
        <w:t>:</w:t>
      </w:r>
    </w:p>
    <w:p w14:paraId="1ECC0EC6" w14:textId="77777777" w:rsidR="002F1A35" w:rsidRDefault="002F1A35" w:rsidP="0064630F">
      <w:pPr>
        <w:rPr>
          <w:b/>
          <w:sz w:val="22"/>
          <w:szCs w:val="22"/>
        </w:rPr>
      </w:pPr>
    </w:p>
    <w:p w14:paraId="155F8990" w14:textId="77777777" w:rsidR="0064630F" w:rsidRDefault="0064630F" w:rsidP="0064630F">
      <w:pPr>
        <w:rPr>
          <w:sz w:val="22"/>
          <w:szCs w:val="22"/>
        </w:rPr>
      </w:pPr>
      <w:r>
        <w:rPr>
          <w:sz w:val="22"/>
          <w:szCs w:val="22"/>
        </w:rPr>
        <w:t>1) In a 2012 study investigating leptospirosis PCR testing on recently vaccinated dogs, investigators found which of the following?</w:t>
      </w:r>
    </w:p>
    <w:p w14:paraId="0D2D25AB" w14:textId="77777777" w:rsidR="0064630F" w:rsidRDefault="0064630F" w:rsidP="0064630F">
      <w:pPr>
        <w:rPr>
          <w:sz w:val="22"/>
          <w:szCs w:val="22"/>
        </w:rPr>
      </w:pPr>
      <w:r>
        <w:rPr>
          <w:sz w:val="22"/>
          <w:szCs w:val="22"/>
        </w:rPr>
        <w:tab/>
        <w:t>a) Recently vaccinated dogs tested positive at day 3, but no subsequent days</w:t>
      </w:r>
      <w:r w:rsidR="002F1A35">
        <w:rPr>
          <w:sz w:val="22"/>
          <w:szCs w:val="22"/>
        </w:rPr>
        <w:t>.</w:t>
      </w:r>
    </w:p>
    <w:p w14:paraId="180AC81F" w14:textId="77777777" w:rsidR="0064630F" w:rsidRPr="00A33C23" w:rsidRDefault="0064630F" w:rsidP="0064630F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A33C23">
        <w:rPr>
          <w:i/>
          <w:sz w:val="22"/>
          <w:szCs w:val="22"/>
        </w:rPr>
        <w:t>b) There is no interference of vaccination and PCR testing</w:t>
      </w:r>
      <w:r w:rsidR="002F1A35" w:rsidRPr="00A33C23">
        <w:rPr>
          <w:i/>
          <w:sz w:val="22"/>
          <w:szCs w:val="22"/>
        </w:rPr>
        <w:t>.</w:t>
      </w:r>
    </w:p>
    <w:p w14:paraId="70AC0D2C" w14:textId="77777777" w:rsidR="0064630F" w:rsidRDefault="0064630F" w:rsidP="0064630F">
      <w:pPr>
        <w:rPr>
          <w:sz w:val="22"/>
          <w:szCs w:val="22"/>
        </w:rPr>
      </w:pPr>
      <w:r>
        <w:rPr>
          <w:sz w:val="22"/>
          <w:szCs w:val="22"/>
        </w:rPr>
        <w:tab/>
        <w:t>c) Recent vaccination led to positive PCR testing at all time points tested</w:t>
      </w:r>
      <w:r w:rsidR="002F1A35">
        <w:rPr>
          <w:sz w:val="22"/>
          <w:szCs w:val="22"/>
        </w:rPr>
        <w:t>.</w:t>
      </w:r>
    </w:p>
    <w:p w14:paraId="13824EDE" w14:textId="77777777" w:rsidR="0064630F" w:rsidRDefault="0064630F" w:rsidP="0064630F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d) </w:t>
      </w:r>
      <w:r w:rsidR="002F1A35">
        <w:rPr>
          <w:sz w:val="22"/>
          <w:szCs w:val="22"/>
        </w:rPr>
        <w:t>Vaccination with Vanguard but not Leptovax led to positive PCR testing.</w:t>
      </w:r>
      <w:r>
        <w:rPr>
          <w:sz w:val="22"/>
          <w:szCs w:val="22"/>
        </w:rPr>
        <w:t xml:space="preserve"> </w:t>
      </w:r>
    </w:p>
    <w:p w14:paraId="0918541F" w14:textId="77777777" w:rsidR="00275295" w:rsidRDefault="0027529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55FE8F4" w14:textId="77777777" w:rsidR="002F1A35" w:rsidRDefault="00275295" w:rsidP="0064630F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2FDD4C12" wp14:editId="57BC0DC7">
            <wp:extent cx="5833110" cy="3543300"/>
            <wp:effectExtent l="0" t="0" r="889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26" cy="354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9B40" w14:textId="77777777" w:rsidR="00275295" w:rsidRDefault="00275295" w:rsidP="0064630F">
      <w:pPr>
        <w:rPr>
          <w:sz w:val="22"/>
          <w:szCs w:val="22"/>
        </w:rPr>
      </w:pPr>
      <w:r>
        <w:rPr>
          <w:b/>
          <w:sz w:val="22"/>
          <w:szCs w:val="22"/>
        </w:rPr>
        <w:t>KEY POINTS:</w:t>
      </w:r>
    </w:p>
    <w:p w14:paraId="6CE8D272" w14:textId="77777777" w:rsidR="00275295" w:rsidRDefault="00275295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Cox activity allows for production TXA2, which is essential for normal platelet function</w:t>
      </w:r>
    </w:p>
    <w:p w14:paraId="3ADE4458" w14:textId="77777777" w:rsidR="00275295" w:rsidRDefault="00275295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COX-2 has limited tissue distribution and occurs primarily at post-transcriptional level, therefore not thought to play a role in platelet fxn.  </w:t>
      </w:r>
    </w:p>
    <w:p w14:paraId="7BF0B137" w14:textId="77777777" w:rsidR="00275295" w:rsidRDefault="005B6002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was a significant increase in COX-1 expression from baseline (avg 250%), and significant decrease with washout, no difference btwn baseline and washout.</w:t>
      </w:r>
    </w:p>
    <w:p w14:paraId="5BCB9599" w14:textId="77777777" w:rsidR="005B6002" w:rsidRDefault="005B6002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was no significant change in COX-2 expression from baseline, but significant increase from day 10 to washout, no difference btwn baseline and washout.</w:t>
      </w:r>
    </w:p>
    <w:p w14:paraId="2C36E9EC" w14:textId="77777777" w:rsidR="005B6002" w:rsidRDefault="005B6002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was a significant increase in PFA-100 closure time</w:t>
      </w:r>
    </w:p>
    <w:p w14:paraId="51B8C652" w14:textId="77777777" w:rsidR="00F13373" w:rsidRDefault="00F13373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was a significant decrease in urinary 11-dTXB2 to Cr ratio</w:t>
      </w:r>
    </w:p>
    <w:p w14:paraId="389D0B7C" w14:textId="77777777" w:rsidR="00F13373" w:rsidRDefault="00F13373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This study demonstrates COX-2 expression on canine platelets</w:t>
      </w:r>
    </w:p>
    <w:p w14:paraId="7BCE69C3" w14:textId="77777777" w:rsidR="00A33C23" w:rsidRDefault="00A33C23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Anti-inflammatory doses of aspirin altered platelet expression of COX-1 and -2</w:t>
      </w:r>
    </w:p>
    <w:p w14:paraId="38BC5640" w14:textId="77777777" w:rsidR="00A33C23" w:rsidRDefault="00A33C23" w:rsidP="0027529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Marked disparity of COX-2 expression to txt may explain Aspirin resistance</w:t>
      </w:r>
    </w:p>
    <w:p w14:paraId="2C45AB32" w14:textId="77777777" w:rsidR="00A33C23" w:rsidRDefault="00A33C23" w:rsidP="00A33C23">
      <w:pPr>
        <w:rPr>
          <w:sz w:val="22"/>
          <w:szCs w:val="22"/>
        </w:rPr>
      </w:pPr>
    </w:p>
    <w:p w14:paraId="07C55DC2" w14:textId="77777777" w:rsidR="00A33C23" w:rsidRDefault="00A33C23" w:rsidP="00A33C23">
      <w:pPr>
        <w:rPr>
          <w:b/>
          <w:sz w:val="22"/>
          <w:szCs w:val="22"/>
        </w:rPr>
      </w:pPr>
      <w:r>
        <w:rPr>
          <w:b/>
          <w:sz w:val="22"/>
          <w:szCs w:val="22"/>
        </w:rPr>
        <w:t>QUESTIONS:</w:t>
      </w:r>
    </w:p>
    <w:p w14:paraId="39AA7E9E" w14:textId="77777777" w:rsidR="00A33C23" w:rsidRDefault="00A33C23" w:rsidP="00A33C23">
      <w:pPr>
        <w:rPr>
          <w:sz w:val="22"/>
          <w:szCs w:val="22"/>
        </w:rPr>
      </w:pPr>
      <w:r>
        <w:rPr>
          <w:sz w:val="22"/>
          <w:szCs w:val="22"/>
        </w:rPr>
        <w:t>1) True or</w:t>
      </w:r>
      <w:r w:rsidRPr="00A33C23">
        <w:rPr>
          <w:i/>
          <w:sz w:val="22"/>
          <w:szCs w:val="22"/>
        </w:rPr>
        <w:t xml:space="preserve"> False</w:t>
      </w:r>
      <w:r>
        <w:rPr>
          <w:sz w:val="22"/>
          <w:szCs w:val="22"/>
        </w:rPr>
        <w:t xml:space="preserve">.  Investigators of a 2012 study evaluating Cox expression on canine platelets, found that unlike humans, dogs did not express Cox-2 on their platelets. </w:t>
      </w:r>
    </w:p>
    <w:p w14:paraId="5CC85481" w14:textId="77777777" w:rsidR="00A33C23" w:rsidRDefault="00A33C23" w:rsidP="00A33C23">
      <w:pPr>
        <w:rPr>
          <w:sz w:val="22"/>
          <w:szCs w:val="22"/>
        </w:rPr>
      </w:pPr>
    </w:p>
    <w:p w14:paraId="0C5EC24A" w14:textId="77777777" w:rsidR="00A33C23" w:rsidRDefault="00A33C23" w:rsidP="00A33C23">
      <w:pPr>
        <w:rPr>
          <w:sz w:val="22"/>
          <w:szCs w:val="22"/>
        </w:rPr>
      </w:pPr>
      <w:r>
        <w:rPr>
          <w:sz w:val="22"/>
          <w:szCs w:val="22"/>
        </w:rPr>
        <w:t>2) Which of the following was found to be statistically significant in this study?</w:t>
      </w:r>
    </w:p>
    <w:p w14:paraId="2A505A2A" w14:textId="77777777" w:rsidR="00A33C23" w:rsidRDefault="00A33C23" w:rsidP="00A33C2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a) </w:t>
      </w:r>
      <w:r w:rsidR="00E11825">
        <w:rPr>
          <w:sz w:val="22"/>
          <w:szCs w:val="22"/>
        </w:rPr>
        <w:t xml:space="preserve">decreased </w:t>
      </w:r>
      <w:r>
        <w:rPr>
          <w:sz w:val="22"/>
          <w:szCs w:val="22"/>
        </w:rPr>
        <w:t>Cox-2 expression from baseline until end of aspirin treatment</w:t>
      </w:r>
    </w:p>
    <w:p w14:paraId="679FC975" w14:textId="77777777" w:rsidR="00A33C23" w:rsidRDefault="00A33C23" w:rsidP="00A33C23">
      <w:pPr>
        <w:rPr>
          <w:sz w:val="22"/>
          <w:szCs w:val="22"/>
        </w:rPr>
      </w:pPr>
      <w:r>
        <w:rPr>
          <w:sz w:val="22"/>
          <w:szCs w:val="22"/>
        </w:rPr>
        <w:tab/>
        <w:t>b) increased Cox-1 expression from baseline until end of washout period</w:t>
      </w:r>
    </w:p>
    <w:p w14:paraId="7800834A" w14:textId="77777777" w:rsidR="00A33C23" w:rsidRDefault="00A33C23" w:rsidP="00A33C23">
      <w:pPr>
        <w:rPr>
          <w:sz w:val="22"/>
          <w:szCs w:val="22"/>
        </w:rPr>
      </w:pPr>
      <w:r>
        <w:rPr>
          <w:sz w:val="22"/>
          <w:szCs w:val="22"/>
        </w:rPr>
        <w:tab/>
        <w:t>c) a decrease in PFA-100 closure times</w:t>
      </w:r>
    </w:p>
    <w:p w14:paraId="46B99C67" w14:textId="77777777" w:rsidR="00A33C23" w:rsidRDefault="00A33C23" w:rsidP="00A33C23">
      <w:pPr>
        <w:rPr>
          <w:i/>
          <w:sz w:val="22"/>
          <w:szCs w:val="22"/>
        </w:rPr>
      </w:pPr>
      <w:r>
        <w:rPr>
          <w:sz w:val="22"/>
          <w:szCs w:val="22"/>
        </w:rPr>
        <w:tab/>
      </w:r>
      <w:r w:rsidRPr="00E11825">
        <w:rPr>
          <w:i/>
          <w:sz w:val="22"/>
          <w:szCs w:val="22"/>
        </w:rPr>
        <w:t>d) a decrease in urinary 11-dTXA2 to Cr ratio</w:t>
      </w:r>
    </w:p>
    <w:p w14:paraId="3F98A0D0" w14:textId="77777777" w:rsidR="0052369F" w:rsidRDefault="0052369F" w:rsidP="00A33C23">
      <w:pPr>
        <w:rPr>
          <w:i/>
          <w:sz w:val="22"/>
          <w:szCs w:val="22"/>
        </w:rPr>
      </w:pPr>
    </w:p>
    <w:p w14:paraId="5D5E16F0" w14:textId="7DA2EB0C" w:rsidR="0052369F" w:rsidRDefault="0052369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E2020D8" w14:textId="606700F7" w:rsidR="0052369F" w:rsidRDefault="0052369F" w:rsidP="00A33C2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6E8CEB62" wp14:editId="0598F07C">
            <wp:extent cx="5948045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90" cy="365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1E849" w14:textId="77777777" w:rsidR="0052369F" w:rsidRDefault="0052369F" w:rsidP="00A33C23">
      <w:pPr>
        <w:rPr>
          <w:b/>
          <w:sz w:val="22"/>
          <w:szCs w:val="22"/>
        </w:rPr>
      </w:pPr>
    </w:p>
    <w:p w14:paraId="00D1AE5E" w14:textId="77777777" w:rsidR="0052369F" w:rsidRDefault="0052369F" w:rsidP="00A33C23">
      <w:pPr>
        <w:rPr>
          <w:b/>
          <w:sz w:val="22"/>
          <w:szCs w:val="22"/>
        </w:rPr>
      </w:pPr>
    </w:p>
    <w:p w14:paraId="574E6D6F" w14:textId="1AB0E445" w:rsidR="0052369F" w:rsidRDefault="0052369F" w:rsidP="00A33C23">
      <w:pPr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KEY POINTS:</w:t>
      </w:r>
    </w:p>
    <w:p w14:paraId="76C9117D" w14:textId="0E7569B0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CGMS measure glucose in SQ interstitial fluid every few seconds</w:t>
      </w:r>
    </w:p>
    <w:p w14:paraId="55F0B5A5" w14:textId="39A13D0F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In 16/21 cases, the CGMS nadir occurred within 2 hours from the Alpha trak (PGGM)</w:t>
      </w:r>
    </w:p>
    <w:p w14:paraId="1985B5EE" w14:textId="78CF4F5B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There was no significant overall difference b/n the insulin doses deduced from the CGMS and PBGM profiles</w:t>
      </w:r>
    </w:p>
    <w:p w14:paraId="79B03ADE" w14:textId="3EE632EB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The median difference b/n the doses was 0U per injection and ranged from -1 to +0.5 units.</w:t>
      </w:r>
    </w:p>
    <w:p w14:paraId="442447E0" w14:textId="408A85DE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There was disagreement b/n the two insulin doses deduced from the profiles in 19/63 (30.2%) treatment recommendations (3 investigators). </w:t>
      </w:r>
    </w:p>
    <w:p w14:paraId="203C3358" w14:textId="1D3E79C1" w:rsidR="0052369F" w:rsidRPr="0052369F" w:rsidRDefault="0052369F" w:rsidP="0052369F">
      <w:pPr>
        <w:pStyle w:val="ListParagraph"/>
        <w:numPr>
          <w:ilvl w:val="0"/>
          <w:numId w:val="3"/>
        </w:numPr>
        <w:rPr>
          <w:b/>
          <w:sz w:val="22"/>
          <w:szCs w:val="22"/>
        </w:rPr>
      </w:pPr>
      <w:r>
        <w:rPr>
          <w:sz w:val="22"/>
          <w:szCs w:val="22"/>
        </w:rPr>
        <w:t>The dose deduced form the CGMS profile was lower thatn the dose deduced from the PBGM.</w:t>
      </w:r>
    </w:p>
    <w:sectPr w:rsidR="0052369F" w:rsidRPr="0052369F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55BF"/>
    <w:multiLevelType w:val="hybridMultilevel"/>
    <w:tmpl w:val="6AA82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57582"/>
    <w:multiLevelType w:val="hybridMultilevel"/>
    <w:tmpl w:val="B9FEE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F1B5C"/>
    <w:multiLevelType w:val="hybridMultilevel"/>
    <w:tmpl w:val="9BE66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0F"/>
    <w:rsid w:val="00275295"/>
    <w:rsid w:val="002F1A35"/>
    <w:rsid w:val="0052369F"/>
    <w:rsid w:val="005B6002"/>
    <w:rsid w:val="0064630F"/>
    <w:rsid w:val="008D2E9F"/>
    <w:rsid w:val="00A33C23"/>
    <w:rsid w:val="00E11825"/>
    <w:rsid w:val="00F1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1A06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3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0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46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63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30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46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441</Words>
  <Characters>2518</Characters>
  <Application>Microsoft Macintosh Word</Application>
  <DocSecurity>0</DocSecurity>
  <Lines>20</Lines>
  <Paragraphs>5</Paragraphs>
  <ScaleCrop>false</ScaleCrop>
  <Company>Cornell University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3</cp:revision>
  <dcterms:created xsi:type="dcterms:W3CDTF">2012-02-02T19:21:00Z</dcterms:created>
  <dcterms:modified xsi:type="dcterms:W3CDTF">2012-02-02T20:40:00Z</dcterms:modified>
</cp:coreProperties>
</file>