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B93" w:rsidRDefault="0080134A">
      <w:pPr>
        <w:rPr>
          <w:rFonts w:ascii="Helvetica" w:hAnsi="Helvetica" w:cs="Helvetica"/>
          <w:color w:val="141413"/>
          <w:sz w:val="36"/>
          <w:szCs w:val="36"/>
        </w:rPr>
      </w:pPr>
      <w:r>
        <w:rPr>
          <w:rFonts w:ascii="Helvetica" w:hAnsi="Helvetica" w:cs="Helvetica"/>
          <w:color w:val="141413"/>
          <w:sz w:val="36"/>
          <w:szCs w:val="36"/>
        </w:rPr>
        <w:t>Safety and efficacy of laparoscopic hepatic biopsy in dogs: 80 cases (2004–2009)</w:t>
      </w:r>
    </w:p>
    <w:p w:rsidR="0080134A" w:rsidRPr="0080134A" w:rsidRDefault="0080134A">
      <w:pPr>
        <w:rPr>
          <w:rFonts w:ascii="Times" w:hAnsi="Times" w:cs="Times"/>
          <w:color w:val="141413"/>
        </w:rPr>
      </w:pPr>
      <w:r w:rsidRPr="0080134A">
        <w:rPr>
          <w:rFonts w:ascii="Times" w:hAnsi="Times" w:cs="Times"/>
          <w:color w:val="141413"/>
        </w:rPr>
        <w:t>Sarah L. Petre, dvm; Janet Kovak McClaran, dvm, dacvs; Philip J. Bergman, dvm, phd, dacvim; Sebastien Monette, dvm, dacvp</w:t>
      </w:r>
    </w:p>
    <w:p w:rsidR="0080134A" w:rsidRPr="0080134A" w:rsidRDefault="0080134A">
      <w:r w:rsidRPr="0080134A">
        <w:t>JAVMA January 2012</w:t>
      </w:r>
    </w:p>
    <w:p w:rsidR="0080134A" w:rsidRPr="0080134A" w:rsidRDefault="0080134A" w:rsidP="008013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80134A">
        <w:rPr>
          <w:rFonts w:ascii="Helvetica" w:hAnsi="Helvetica" w:cs="Helvetica"/>
          <w:color w:val="141413"/>
        </w:rPr>
        <w:t>Objective—To evaluate the safety and efficacy of laparoscopic hepatic biopsy in dogs. Design—Retrospective case series. Animals—80 client-owned dogs.</w:t>
      </w:r>
    </w:p>
    <w:p w:rsidR="0080134A" w:rsidRPr="0080134A" w:rsidRDefault="0080134A" w:rsidP="008013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80134A">
        <w:rPr>
          <w:rFonts w:ascii="Helvetica" w:hAnsi="Helvetica" w:cs="Helvetica"/>
          <w:color w:val="141413"/>
        </w:rPr>
        <w:t>Procedures—Medical records of dogs that underwent laparoscopic he</w:t>
      </w:r>
      <w:r>
        <w:rPr>
          <w:rFonts w:ascii="Helvetica" w:hAnsi="Helvetica" w:cs="Helvetica"/>
          <w:color w:val="141413"/>
        </w:rPr>
        <w:t>patic biopsy be</w:t>
      </w:r>
      <w:r w:rsidRPr="0080134A">
        <w:rPr>
          <w:rFonts w:ascii="Helvetica" w:hAnsi="Helvetica" w:cs="Helvetica"/>
          <w:color w:val="141413"/>
        </w:rPr>
        <w:t>tween 2004 and 2009 because of suspected hepatic disease were reviewed to obtain information on signalment, intraoperative and postoperative complications, and histologic diagnosis. Follow-up information was obtained through medical record</w:t>
      </w:r>
      <w:r>
        <w:rPr>
          <w:rFonts w:ascii="Helvetica" w:hAnsi="Helvetica" w:cs="Helvetica"/>
          <w:color w:val="141413"/>
        </w:rPr>
        <w:t>s and telephone con</w:t>
      </w:r>
      <w:r w:rsidRPr="0080134A">
        <w:rPr>
          <w:rFonts w:ascii="Helvetica" w:hAnsi="Helvetica" w:cs="Helvetica"/>
          <w:color w:val="141413"/>
        </w:rPr>
        <w:t>versations with owners.</w:t>
      </w:r>
    </w:p>
    <w:p w:rsidR="0080134A" w:rsidRPr="0080134A" w:rsidRDefault="0080134A" w:rsidP="008013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80134A">
        <w:rPr>
          <w:rFonts w:ascii="Helvetica" w:hAnsi="Helvetica" w:cs="Helvetica"/>
          <w:color w:val="141413"/>
        </w:rPr>
        <w:t>Results—76 of the 80 (95%) dogs survived to hospital discharge. Three (4%) dogs required conversion to laparotomy, but in none of the dogs was conversion to laparotomy needed to control hemorrhage associated with the laparoscopic biopsy procedure. Another 3 (4%) dogs required a blood transfusion; all 3 had been anemic prior to surgery. All laparoscopic biopsy samples were considered to be of sufficient size and to contain a sufficient number of portal triads to obtain a histologic diagnosis. However, disagreements in histologic diagnoses were identified for 7 of the 49 (14%) dogs for which multiple slides were available for review.</w:t>
      </w:r>
    </w:p>
    <w:p w:rsidR="0080134A" w:rsidRDefault="0080134A" w:rsidP="0080134A">
      <w:pPr>
        <w:rPr>
          <w:rFonts w:ascii="Helvetica" w:hAnsi="Helvetica" w:cs="Helvetica"/>
          <w:color w:val="141413"/>
        </w:rPr>
      </w:pPr>
      <w:r w:rsidRPr="0080134A">
        <w:rPr>
          <w:rFonts w:ascii="Helvetica" w:hAnsi="Helvetica" w:cs="Helvetica"/>
          <w:color w:val="141413"/>
        </w:rPr>
        <w:t>Conclusions and Clinical Relevance—Results suggested that laparoscopic hepatic biopsy is a safe procedure in dogs, with low morbidity and mortality ra</w:t>
      </w:r>
      <w:r>
        <w:rPr>
          <w:rFonts w:ascii="Helvetica" w:hAnsi="Helvetica" w:cs="Helvetica"/>
          <w:color w:val="141413"/>
        </w:rPr>
        <w:t>tes, that typically yields suf</w:t>
      </w:r>
      <w:r w:rsidRPr="0080134A">
        <w:rPr>
          <w:rFonts w:ascii="Helvetica" w:hAnsi="Helvetica" w:cs="Helvetica"/>
          <w:color w:val="141413"/>
        </w:rPr>
        <w:t xml:space="preserve">ficient samples for histologic examination. However, because </w:t>
      </w:r>
      <w:r>
        <w:rPr>
          <w:rFonts w:ascii="Helvetica" w:hAnsi="Helvetica" w:cs="Helvetica"/>
          <w:color w:val="141413"/>
        </w:rPr>
        <w:t>of the possibility of disagree</w:t>
      </w:r>
      <w:r w:rsidRPr="0080134A">
        <w:rPr>
          <w:rFonts w:ascii="Helvetica" w:hAnsi="Helvetica" w:cs="Helvetica"/>
          <w:color w:val="141413"/>
        </w:rPr>
        <w:t xml:space="preserve">ment among histologic diagnoses, multiple samples should be obtained. </w:t>
      </w:r>
    </w:p>
    <w:p w:rsidR="0080134A" w:rsidRDefault="0080134A" w:rsidP="0080134A">
      <w:pPr>
        <w:rPr>
          <w:rFonts w:ascii="Helvetica" w:hAnsi="Helvetica" w:cs="Helvetica"/>
          <w:color w:val="141413"/>
        </w:rPr>
      </w:pPr>
    </w:p>
    <w:p w:rsidR="0080134A" w:rsidRDefault="0080134A" w:rsidP="0080134A">
      <w:pPr>
        <w:rPr>
          <w:rFonts w:ascii="Helvetica" w:hAnsi="Helvetica" w:cs="Helvetica"/>
          <w:color w:val="141413"/>
        </w:rPr>
      </w:pPr>
      <w:r>
        <w:rPr>
          <w:rFonts w:ascii="Helvetica" w:hAnsi="Helvetica" w:cs="Helvetica"/>
          <w:color w:val="141413"/>
        </w:rPr>
        <w:t>Take Home Points:</w:t>
      </w:r>
    </w:p>
    <w:p w:rsidR="0080134A" w:rsidRPr="0080134A" w:rsidRDefault="0080134A" w:rsidP="0080134A">
      <w:pPr>
        <w:pStyle w:val="ListParagraph"/>
        <w:numPr>
          <w:ilvl w:val="0"/>
          <w:numId w:val="1"/>
        </w:numPr>
      </w:pPr>
      <w:r>
        <w:rPr>
          <w:rFonts w:ascii="Times" w:hAnsi="Times" w:cs="Times"/>
          <w:color w:val="141413"/>
          <w:sz w:val="20"/>
          <w:szCs w:val="20"/>
        </w:rPr>
        <w:t>Laparoscopic hepatic biopsy is a safe procedure in dogs, with low morbidity and mortality rates,.</w:t>
      </w:r>
    </w:p>
    <w:p w:rsidR="0080134A" w:rsidRPr="0080134A" w:rsidRDefault="0080134A" w:rsidP="0080134A">
      <w:pPr>
        <w:pStyle w:val="ListParagraph"/>
        <w:numPr>
          <w:ilvl w:val="0"/>
          <w:numId w:val="1"/>
        </w:numPr>
      </w:pPr>
      <w:r>
        <w:rPr>
          <w:rFonts w:ascii="Times" w:hAnsi="Times" w:cs="Times"/>
          <w:color w:val="141413"/>
          <w:sz w:val="20"/>
          <w:szCs w:val="20"/>
        </w:rPr>
        <w:t>Laparoscopic hepatic biopsy typically yields sufficient samples for histologic examination. However, because of the possibility of disagreement among histologic diagnoses, multiple samples should be obtained.</w:t>
      </w:r>
    </w:p>
    <w:p w:rsidR="0080134A" w:rsidRPr="0080134A" w:rsidRDefault="0080134A" w:rsidP="0080134A">
      <w:pPr>
        <w:pStyle w:val="ListParagraph"/>
        <w:numPr>
          <w:ilvl w:val="0"/>
          <w:numId w:val="1"/>
        </w:numPr>
      </w:pPr>
      <w:r>
        <w:rPr>
          <w:rFonts w:ascii="Times" w:hAnsi="Times" w:cs="Times"/>
          <w:color w:val="141413"/>
          <w:sz w:val="20"/>
          <w:szCs w:val="20"/>
        </w:rPr>
        <w:t>Complications (defined as need to convert to a laparotomy or anemia requiring transfusion) were identified in 7.5% (6/80) dogs (3 (4%) required conversion to laparotomy and 3 (4%) required a blood transfusion)</w:t>
      </w:r>
    </w:p>
    <w:p w:rsidR="0080134A" w:rsidRPr="0080134A" w:rsidRDefault="0080134A" w:rsidP="0080134A">
      <w:pPr>
        <w:pStyle w:val="ListParagraph"/>
        <w:numPr>
          <w:ilvl w:val="0"/>
          <w:numId w:val="1"/>
        </w:numPr>
      </w:pPr>
      <w:r>
        <w:rPr>
          <w:rFonts w:ascii="Times" w:hAnsi="Times" w:cs="Times"/>
          <w:color w:val="141413"/>
          <w:sz w:val="20"/>
          <w:szCs w:val="20"/>
        </w:rPr>
        <w:t>95% (76/80) dogs survived to hospital discharge</w:t>
      </w:r>
    </w:p>
    <w:p w:rsidR="0080134A" w:rsidRPr="0080134A" w:rsidRDefault="0080134A" w:rsidP="0080134A">
      <w:pPr>
        <w:pStyle w:val="ListParagraph"/>
        <w:numPr>
          <w:ilvl w:val="0"/>
          <w:numId w:val="1"/>
        </w:numPr>
      </w:pPr>
      <w:r>
        <w:rPr>
          <w:rFonts w:ascii="Times" w:hAnsi="Times" w:cs="Times"/>
          <w:color w:val="141413"/>
          <w:sz w:val="20"/>
          <w:szCs w:val="20"/>
        </w:rPr>
        <w:t>Disagreements in histologic diagnosis were identified in 7/49 (14%) of dogs</w:t>
      </w:r>
    </w:p>
    <w:p w:rsidR="0080134A" w:rsidRDefault="0080134A" w:rsidP="0080134A"/>
    <w:p w:rsidR="0080134A" w:rsidRDefault="0080134A" w:rsidP="0080134A"/>
    <w:p w:rsidR="0080134A" w:rsidRDefault="0080134A" w:rsidP="0080134A"/>
    <w:p w:rsidR="0080134A" w:rsidRDefault="0080134A" w:rsidP="0080134A"/>
    <w:p w:rsidR="0080134A" w:rsidRDefault="0080134A" w:rsidP="0080134A"/>
    <w:p w:rsidR="0080134A" w:rsidRDefault="0080134A" w:rsidP="0080134A"/>
    <w:p w:rsidR="0080134A" w:rsidRDefault="0080134A" w:rsidP="0080134A"/>
    <w:p w:rsidR="0080134A" w:rsidRDefault="0080134A" w:rsidP="0080134A"/>
    <w:p w:rsidR="0080134A" w:rsidRDefault="00B20314" w:rsidP="0080134A">
      <w:pPr>
        <w:rPr>
          <w:rFonts w:ascii="Helvetica" w:hAnsi="Helvetica" w:cs="Helvetica"/>
          <w:color w:val="141413"/>
          <w:sz w:val="36"/>
          <w:szCs w:val="36"/>
        </w:rPr>
      </w:pPr>
      <w:r>
        <w:rPr>
          <w:rFonts w:ascii="Helvetica" w:hAnsi="Helvetica" w:cs="Helvetica"/>
          <w:color w:val="141413"/>
          <w:sz w:val="36"/>
          <w:szCs w:val="36"/>
        </w:rPr>
        <w:lastRenderedPageBreak/>
        <w:t>Associations between cerebrospinal fluid biomarkers and long-term neurologic outcome in dogs with acute intervertebral disk herniation</w:t>
      </w:r>
    </w:p>
    <w:p w:rsidR="00B20314" w:rsidRDefault="00B20314" w:rsidP="0080134A">
      <w:pPr>
        <w:rPr>
          <w:rFonts w:ascii="Times" w:hAnsi="Times" w:cs="Times"/>
          <w:color w:val="141413"/>
        </w:rPr>
      </w:pPr>
      <w:r w:rsidRPr="00B20314">
        <w:rPr>
          <w:rFonts w:ascii="Times" w:hAnsi="Times" w:cs="Times"/>
          <w:color w:val="141413"/>
        </w:rPr>
        <w:t>Tige H. Witsberger, dvm, dacvs; Jonathan M. Levine, dvm, dacvim; Geoffrey T. Fosgate, dvm, phd, dacvpm; Margaret R. Slater, dvm, phd; Sharon C. Kerwin, dvm, ms, dacvs; Karen E. Russell, dvm, phd, dacvp; Gwendolyn J. Levine, dvm, dacvp</w:t>
      </w:r>
    </w:p>
    <w:p w:rsidR="00B20314" w:rsidRPr="00B20314" w:rsidRDefault="00B20314" w:rsidP="0080134A">
      <w:pPr>
        <w:rPr>
          <w:rFonts w:ascii="Times" w:hAnsi="Times" w:cs="Times"/>
          <w:color w:val="141413"/>
        </w:rPr>
      </w:pPr>
      <w:r>
        <w:rPr>
          <w:rFonts w:ascii="Times" w:hAnsi="Times" w:cs="Times"/>
          <w:color w:val="141413"/>
        </w:rPr>
        <w:t>JAVMA March 1, 2012</w:t>
      </w:r>
    </w:p>
    <w:p w:rsidR="00B20314" w:rsidRPr="00B20314" w:rsidRDefault="00B20314" w:rsidP="00B203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20314">
        <w:rPr>
          <w:rFonts w:ascii="Helvetica" w:hAnsi="Helvetica" w:cs="Helvetica"/>
          <w:color w:val="141413"/>
        </w:rPr>
        <w:t>Objective—To examine associations between CSF biomarkers, initial neurologic dysfunction, and long-term ambulatory outcome in dogs with acute intervertebral disk herniation (IVDH).</w:t>
      </w:r>
    </w:p>
    <w:p w:rsidR="00B20314" w:rsidRPr="00B20314" w:rsidRDefault="00B20314" w:rsidP="00B203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20314">
        <w:rPr>
          <w:rFonts w:ascii="Helvetica" w:hAnsi="Helvetica" w:cs="Helvetica"/>
          <w:color w:val="141413"/>
        </w:rPr>
        <w:t>Design—Prospective clinical study.</w:t>
      </w:r>
    </w:p>
    <w:p w:rsidR="00B20314" w:rsidRPr="00B20314" w:rsidRDefault="00B20314" w:rsidP="00B203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20314">
        <w:rPr>
          <w:rFonts w:ascii="Helvetica" w:hAnsi="Helvetica" w:cs="Helvetica"/>
          <w:color w:val="141413"/>
        </w:rPr>
        <w:t>Animals—54 dogs with acute thoracolumbar IVDH and 16 clinically normal dogs.</w:t>
      </w:r>
    </w:p>
    <w:p w:rsidR="00B20314" w:rsidRPr="00B20314" w:rsidRDefault="00B20314" w:rsidP="00B203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20314">
        <w:rPr>
          <w:rFonts w:ascii="Helvetica" w:hAnsi="Helvetica" w:cs="Helvetica"/>
          <w:color w:val="141413"/>
        </w:rPr>
        <w:t>Procedures—For each dog, variables, including CSF myelin basic protein (MBP), lactate, calcium, glucose, and total protein concentrations; nucleat</w:t>
      </w:r>
      <w:r w:rsidR="00554F03">
        <w:rPr>
          <w:rFonts w:ascii="Helvetica" w:hAnsi="Helvetica" w:cs="Helvetica"/>
          <w:color w:val="141413"/>
        </w:rPr>
        <w:t>ed cell count; and creatine ki</w:t>
      </w:r>
      <w:r w:rsidRPr="00B20314">
        <w:rPr>
          <w:rFonts w:ascii="Helvetica" w:hAnsi="Helvetica" w:cs="Helvetica"/>
          <w:color w:val="141413"/>
        </w:rPr>
        <w:t>nase (CK) and aspartate aminotransferase activities, were measured. For dogs with t</w:t>
      </w:r>
      <w:r w:rsidR="00554F03">
        <w:rPr>
          <w:rFonts w:ascii="Helvetica" w:hAnsi="Helvetica" w:cs="Helvetica"/>
          <w:color w:val="141413"/>
        </w:rPr>
        <w:t>hora</w:t>
      </w:r>
      <w:r w:rsidRPr="00B20314">
        <w:rPr>
          <w:rFonts w:ascii="Helvetica" w:hAnsi="Helvetica" w:cs="Helvetica"/>
          <w:color w:val="141413"/>
        </w:rPr>
        <w:t>columbar IVDH, initial neurologic function was characterized by use of a modified Frankel score (MFS; determined on a scale of 0 to 5, where 0 represented paraplegia with no deep nociception and 5 represented paraspinal hyperesthesia only). Long-term follow-up was assessed.</w:t>
      </w:r>
    </w:p>
    <w:p w:rsidR="00B20314" w:rsidRPr="00B20314" w:rsidRDefault="00B20314" w:rsidP="00B203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20314">
        <w:rPr>
          <w:rFonts w:ascii="Helvetica" w:hAnsi="Helvetica" w:cs="Helvetica"/>
          <w:color w:val="141413"/>
        </w:rPr>
        <w:t xml:space="preserve">Results—Among dogs with thoracolumbar IVDH, those with CSF CK activity </w:t>
      </w:r>
      <w:r w:rsidR="00554F03">
        <w:rPr>
          <w:rFonts w:ascii="Symbol" w:hAnsi="Symbol" w:cs="Symbol"/>
          <w:color w:val="141413"/>
        </w:rPr>
        <w:t></w:t>
      </w:r>
      <w:r w:rsidR="00554F03">
        <w:rPr>
          <w:rFonts w:ascii="Symbol" w:hAnsi="Symbol" w:cs="Symbol"/>
          <w:color w:val="141413"/>
        </w:rPr>
        <w:t></w:t>
      </w:r>
      <w:r w:rsidR="00554F03">
        <w:rPr>
          <w:rFonts w:ascii="Symbol" w:hAnsi="Symbol" w:cs="Symbol"/>
          <w:color w:val="141413"/>
        </w:rPr>
        <w:t></w:t>
      </w:r>
      <w:r w:rsidRPr="00B20314">
        <w:rPr>
          <w:rFonts w:ascii="Helvetica" w:hAnsi="Helvetica" w:cs="Helvetica"/>
          <w:color w:val="141413"/>
        </w:rPr>
        <w:t xml:space="preserve">38 U/L had a 35-fold increase in the odds of long-term ambulation, compared with the odds in dogs with CSF CK activity &gt; 38 U/L, adjusting for neurologic functioning at the evaluation. The CSF lactate, calcium, and glucose concentrations and aspartate aminotransferase activity were not predictive of long-term ambulatory outcome. Data analysis revealed that long- term functional recovery was &gt; 98% for affected dogs, regardless of their initial MFS, when CSF CK activity was </w:t>
      </w:r>
      <w:r w:rsidR="00554F03">
        <w:rPr>
          <w:rFonts w:ascii="Symbol" w:hAnsi="Symbol" w:cs="Symbol"/>
          <w:color w:val="141413"/>
        </w:rPr>
        <w:t></w:t>
      </w:r>
      <w:r w:rsidR="00554F03">
        <w:rPr>
          <w:rFonts w:ascii="Symbol" w:hAnsi="Symbol" w:cs="Symbol"/>
          <w:color w:val="141413"/>
        </w:rPr>
        <w:t></w:t>
      </w:r>
      <w:r w:rsidR="00554F03">
        <w:rPr>
          <w:rFonts w:ascii="Symbol" w:hAnsi="Symbol" w:cs="Symbol"/>
          <w:color w:val="141413"/>
        </w:rPr>
        <w:t></w:t>
      </w:r>
      <w:r w:rsidRPr="00B20314">
        <w:rPr>
          <w:rFonts w:ascii="Helvetica" w:hAnsi="Helvetica" w:cs="Helvetica"/>
          <w:color w:val="141413"/>
        </w:rPr>
        <w:t xml:space="preserve">38 U/L and MBP concentration was </w:t>
      </w:r>
      <w:r w:rsidR="00554F03">
        <w:rPr>
          <w:rFonts w:ascii="Symbol" w:hAnsi="Symbol" w:cs="Symbol"/>
          <w:color w:val="141413"/>
        </w:rPr>
        <w:t></w:t>
      </w:r>
      <w:r w:rsidR="00554F03">
        <w:rPr>
          <w:rFonts w:ascii="Symbol" w:hAnsi="Symbol" w:cs="Symbol"/>
          <w:color w:val="141413"/>
        </w:rPr>
        <w:t></w:t>
      </w:r>
      <w:r w:rsidR="00554F03">
        <w:rPr>
          <w:rFonts w:ascii="Symbol" w:hAnsi="Symbol" w:cs="Symbol"/>
          <w:color w:val="141413"/>
        </w:rPr>
        <w:t></w:t>
      </w:r>
      <w:r w:rsidRPr="00B20314">
        <w:rPr>
          <w:rFonts w:ascii="Helvetica" w:hAnsi="Helvetica" w:cs="Helvetica"/>
          <w:color w:val="141413"/>
        </w:rPr>
        <w:t>3 ng/mL.</w:t>
      </w:r>
    </w:p>
    <w:p w:rsidR="00B20314" w:rsidRDefault="00B20314" w:rsidP="00B20314">
      <w:pPr>
        <w:rPr>
          <w:rFonts w:ascii="Helvetica" w:hAnsi="Helvetica" w:cs="Helvetica"/>
          <w:color w:val="141413"/>
        </w:rPr>
      </w:pPr>
      <w:r w:rsidRPr="00B20314">
        <w:rPr>
          <w:rFonts w:ascii="Helvetica" w:hAnsi="Helvetica" w:cs="Helvetica"/>
          <w:color w:val="141413"/>
        </w:rPr>
        <w:t xml:space="preserve">Conclusions and Clinical Relevance—In dogs with acute thoracolumbar IVDH, CSF CK activity and MBP concentration appeared to be prognostic </w:t>
      </w:r>
      <w:r w:rsidR="00554F03">
        <w:rPr>
          <w:rFonts w:ascii="Helvetica" w:hAnsi="Helvetica" w:cs="Helvetica"/>
          <w:color w:val="141413"/>
        </w:rPr>
        <w:t>indicators and, along with ini</w:t>
      </w:r>
      <w:r w:rsidRPr="00B20314">
        <w:rPr>
          <w:rFonts w:ascii="Helvetica" w:hAnsi="Helvetica" w:cs="Helvetica"/>
          <w:color w:val="141413"/>
        </w:rPr>
        <w:t>tial MFS, can be used to predict long-term ambulatory outcome.</w:t>
      </w:r>
    </w:p>
    <w:p w:rsidR="00B20314" w:rsidRDefault="00B20314" w:rsidP="00B20314"/>
    <w:p w:rsidR="00B20314" w:rsidRDefault="00B20314" w:rsidP="00B20314">
      <w:r>
        <w:t>TAKE HOME POINTS:</w:t>
      </w:r>
      <w:r>
        <w:br/>
      </w:r>
    </w:p>
    <w:p w:rsidR="00750C28" w:rsidRPr="00750C28" w:rsidRDefault="00750C28" w:rsidP="00B20314">
      <w:pPr>
        <w:pStyle w:val="ListParagraph"/>
        <w:numPr>
          <w:ilvl w:val="0"/>
          <w:numId w:val="3"/>
        </w:numPr>
      </w:pPr>
      <w:r w:rsidRPr="00750C28">
        <w:rPr>
          <w:rFonts w:cs="Times"/>
          <w:color w:val="141413"/>
        </w:rPr>
        <w:t xml:space="preserve">CSF CK activity was associated with long-term outcome in dogs with acute thoracolumbar IVDH. </w:t>
      </w:r>
    </w:p>
    <w:p w:rsidR="00750C28" w:rsidRPr="00750C28" w:rsidRDefault="00750C28" w:rsidP="00B20314">
      <w:pPr>
        <w:pStyle w:val="ListParagraph"/>
        <w:numPr>
          <w:ilvl w:val="0"/>
          <w:numId w:val="3"/>
        </w:numPr>
      </w:pPr>
      <w:r w:rsidRPr="00750C28">
        <w:rPr>
          <w:rFonts w:cs="Times"/>
          <w:color w:val="141413"/>
        </w:rPr>
        <w:t>Median CSF CK activity was significantly higher in dogs that had an unsuccessful outcome (62 U/L), compared with that in dogs without thoracolumbar IVDH (</w:t>
      </w:r>
      <w:r w:rsidRPr="00750C28">
        <w:rPr>
          <w:rFonts w:cs="Helvetica"/>
          <w:color w:val="141413"/>
        </w:rPr>
        <w:t xml:space="preserve">&lt; </w:t>
      </w:r>
      <w:r>
        <w:rPr>
          <w:rFonts w:cs="Times"/>
          <w:color w:val="141413"/>
        </w:rPr>
        <w:t>20 U/L) and dogs with tho</w:t>
      </w:r>
      <w:r w:rsidRPr="00750C28">
        <w:rPr>
          <w:rFonts w:cs="Times"/>
          <w:color w:val="141413"/>
        </w:rPr>
        <w:t>racolumbar IVDH that had a successful o</w:t>
      </w:r>
      <w:r>
        <w:rPr>
          <w:rFonts w:cs="Times"/>
          <w:color w:val="141413"/>
        </w:rPr>
        <w:t>utcome (20 U/L).</w:t>
      </w:r>
    </w:p>
    <w:p w:rsidR="00B20314" w:rsidRPr="00750C28" w:rsidRDefault="00750C28" w:rsidP="00B20314">
      <w:pPr>
        <w:pStyle w:val="ListParagraph"/>
        <w:numPr>
          <w:ilvl w:val="0"/>
          <w:numId w:val="3"/>
        </w:numPr>
      </w:pPr>
      <w:r>
        <w:rPr>
          <w:rFonts w:cs="Times"/>
          <w:color w:val="141413"/>
        </w:rPr>
        <w:t>T</w:t>
      </w:r>
      <w:r w:rsidRPr="00750C28">
        <w:rPr>
          <w:rFonts w:cs="Times"/>
          <w:color w:val="141413"/>
        </w:rPr>
        <w:t xml:space="preserve">he odds of recovery for dogs with thoracolumbar IVDH that had a CSF CK activity </w:t>
      </w:r>
      <w:r w:rsidRPr="00750C28">
        <w:rPr>
          <w:rFonts w:cs="Symbol"/>
          <w:color w:val="141413"/>
        </w:rPr>
        <w:t xml:space="preserve">≤ </w:t>
      </w:r>
      <w:r w:rsidRPr="00750C28">
        <w:rPr>
          <w:rFonts w:cs="Times"/>
          <w:color w:val="141413"/>
        </w:rPr>
        <w:t xml:space="preserve">38 U/L was greater (35-fold difference) than the odds for affected dogs that had a CSF CK activity </w:t>
      </w:r>
      <w:r w:rsidRPr="00750C28">
        <w:rPr>
          <w:rFonts w:cs="Helvetica"/>
          <w:color w:val="141413"/>
        </w:rPr>
        <w:t xml:space="preserve">&gt; </w:t>
      </w:r>
      <w:r>
        <w:rPr>
          <w:rFonts w:cs="Times"/>
          <w:color w:val="141413"/>
        </w:rPr>
        <w:t>38 U/L, ad</w:t>
      </w:r>
      <w:r w:rsidRPr="00750C28">
        <w:rPr>
          <w:rFonts w:cs="Times"/>
          <w:color w:val="141413"/>
        </w:rPr>
        <w:t>justing for initial MFS and CFS MBP concentration.</w:t>
      </w:r>
    </w:p>
    <w:p w:rsidR="00750C28" w:rsidRPr="00750C28" w:rsidRDefault="00750C28" w:rsidP="00B20314">
      <w:pPr>
        <w:pStyle w:val="ListParagraph"/>
        <w:numPr>
          <w:ilvl w:val="0"/>
          <w:numId w:val="3"/>
        </w:numPr>
      </w:pPr>
      <w:r w:rsidRPr="00750C28">
        <w:rPr>
          <w:rFonts w:cs="Times"/>
          <w:color w:val="141413"/>
        </w:rPr>
        <w:t>3 potential causes for increased activity of CK in the CSF: contamination of CSF by plasma during sample collection, breakdown of the blood-brain barrier with the CK source being plasma, or direct leakage of CK from neuroparenchyma due to cellular dysfunction and damage.</w:t>
      </w:r>
    </w:p>
    <w:p w:rsidR="00750C28" w:rsidRPr="00554F03" w:rsidRDefault="00750C28" w:rsidP="00B20314">
      <w:pPr>
        <w:pStyle w:val="ListParagraph"/>
        <w:numPr>
          <w:ilvl w:val="0"/>
          <w:numId w:val="3"/>
        </w:numPr>
      </w:pPr>
      <w:r w:rsidRPr="00554F03">
        <w:rPr>
          <w:rFonts w:cs="Times"/>
          <w:color w:val="141413"/>
        </w:rPr>
        <w:t>In fresh and frozen CSF samples from 10 dogs with IVDH, there was no correlation between values of CK activity. This information, in agreement with previous reports</w:t>
      </w:r>
      <w:r w:rsidR="00554F03" w:rsidRPr="00554F03">
        <w:rPr>
          <w:rFonts w:cs="Times"/>
          <w:color w:val="141413"/>
        </w:rPr>
        <w:t xml:space="preserve"> </w:t>
      </w:r>
      <w:r w:rsidRPr="00554F03">
        <w:rPr>
          <w:rFonts w:cs="Times"/>
          <w:color w:val="141413"/>
        </w:rPr>
        <w:t>suggested that CK in CSF samples is unstable.</w:t>
      </w:r>
    </w:p>
    <w:p w:rsidR="00554F03" w:rsidRPr="00554F03" w:rsidRDefault="00554F03" w:rsidP="00B20314">
      <w:pPr>
        <w:pStyle w:val="ListParagraph"/>
        <w:numPr>
          <w:ilvl w:val="0"/>
          <w:numId w:val="3"/>
        </w:numPr>
      </w:pPr>
      <w:r w:rsidRPr="00554F03">
        <w:rPr>
          <w:rFonts w:cs="Times"/>
          <w:color w:val="141413"/>
        </w:rPr>
        <w:t xml:space="preserve">The odds of long-term voluntary ambulation in affected dogs that had a CSF MBP concentration </w:t>
      </w:r>
      <w:r w:rsidRPr="00554F03">
        <w:rPr>
          <w:rFonts w:cs="Symbol"/>
          <w:color w:val="141413"/>
        </w:rPr>
        <w:t></w:t>
      </w:r>
      <w:r w:rsidRPr="00554F03">
        <w:rPr>
          <w:rFonts w:cs="Symbol"/>
          <w:color w:val="141413"/>
        </w:rPr>
        <w:t></w:t>
      </w:r>
      <w:r w:rsidRPr="00554F03">
        <w:rPr>
          <w:rFonts w:cs="Symbol"/>
          <w:color w:val="141413"/>
        </w:rPr>
        <w:t></w:t>
      </w:r>
      <w:r w:rsidRPr="00554F03">
        <w:rPr>
          <w:rFonts w:cs="Times"/>
          <w:color w:val="141413"/>
        </w:rPr>
        <w:t xml:space="preserve">3 ng/mL was 33 times the odds in affected dogs that had a CSF MBP concentration </w:t>
      </w:r>
      <w:r w:rsidRPr="00554F03">
        <w:rPr>
          <w:rFonts w:cs="Helvetica"/>
          <w:color w:val="141413"/>
        </w:rPr>
        <w:t xml:space="preserve">&gt; </w:t>
      </w:r>
      <w:r w:rsidRPr="00554F03">
        <w:rPr>
          <w:rFonts w:cs="Times"/>
          <w:color w:val="141413"/>
        </w:rPr>
        <w:t xml:space="preserve">3 ng/mL (P = 0.016). </w:t>
      </w:r>
    </w:p>
    <w:p w:rsidR="00554F03" w:rsidRPr="00554F03" w:rsidRDefault="00554F03" w:rsidP="00B20314">
      <w:pPr>
        <w:pStyle w:val="ListParagraph"/>
        <w:numPr>
          <w:ilvl w:val="0"/>
          <w:numId w:val="3"/>
        </w:numPr>
      </w:pPr>
      <w:r w:rsidRPr="00554F03">
        <w:rPr>
          <w:rFonts w:cs="Times"/>
          <w:color w:val="141413"/>
        </w:rPr>
        <w:t xml:space="preserve">The probability of a successful outcome for dogs with an initial MFS of 0 or 1 and CSF CK activity and MBP concentrations values greater than the established cutoffs was </w:t>
      </w:r>
      <w:r w:rsidRPr="00554F03">
        <w:rPr>
          <w:rFonts w:cs="Helvetica"/>
          <w:color w:val="141413"/>
        </w:rPr>
        <w:t xml:space="preserve">&lt; </w:t>
      </w:r>
      <w:r w:rsidRPr="00554F03">
        <w:rPr>
          <w:rFonts w:cs="Times"/>
          <w:color w:val="141413"/>
        </w:rPr>
        <w:t xml:space="preserve">10%. Conversely, the probability of a successful outcome was </w:t>
      </w:r>
      <w:r w:rsidRPr="00554F03">
        <w:rPr>
          <w:rFonts w:cs="Helvetica"/>
          <w:color w:val="141413"/>
        </w:rPr>
        <w:t xml:space="preserve">&gt; </w:t>
      </w:r>
      <w:r w:rsidRPr="00554F03">
        <w:rPr>
          <w:rFonts w:cs="Times"/>
          <w:color w:val="141413"/>
        </w:rPr>
        <w:t>98% for dogs with CSF CK activity and MBP concentration values less than the cutoffs, regardless of initial MFS.</w:t>
      </w:r>
    </w:p>
    <w:p w:rsidR="00554F03" w:rsidRPr="00554F03" w:rsidRDefault="00554F03" w:rsidP="00B20314">
      <w:pPr>
        <w:pStyle w:val="ListParagraph"/>
        <w:numPr>
          <w:ilvl w:val="0"/>
          <w:numId w:val="3"/>
        </w:numPr>
      </w:pPr>
      <w:r w:rsidRPr="00554F03">
        <w:rPr>
          <w:rFonts w:cs="Helvetica"/>
          <w:color w:val="141413"/>
        </w:rPr>
        <w:t>The CSF lactate, calcium, and glucose concentrations and aspartate aminotransferase activity were not predictive of long-term ambulatory outcome.</w:t>
      </w:r>
    </w:p>
    <w:p w:rsidR="00554F03" w:rsidRDefault="00554F03" w:rsidP="00554F03"/>
    <w:p w:rsidR="00554F03" w:rsidRDefault="00554F03" w:rsidP="00554F03"/>
    <w:p w:rsidR="0065297D" w:rsidRDefault="0065297D" w:rsidP="006529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Clinical evaluation of a single dose of immune plasma for treatment of canine parvovirus infection</w:t>
      </w:r>
    </w:p>
    <w:p w:rsidR="0065297D" w:rsidRDefault="0065297D" w:rsidP="006529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sidRPr="0065297D">
        <w:rPr>
          <w:rFonts w:ascii="Times" w:hAnsi="Times" w:cs="Times"/>
          <w:color w:val="141413"/>
        </w:rPr>
        <w:t>Ryan F. Bragg, dvm, ms, dacvecc; Amanda L. Duffy, dvm, ms, dacvecc; Frank A. DeCecco, dvm; Donald K. Chung, dvm; Maura T. Green; Julia K. Veir, dvm, phd, dacvim; Steven W. Dow, dvm, phd, dacvim</w:t>
      </w:r>
    </w:p>
    <w:p w:rsidR="0065297D" w:rsidRPr="0065297D" w:rsidRDefault="0065297D" w:rsidP="006529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Pr>
          <w:rFonts w:ascii="Times" w:hAnsi="Times" w:cs="Times"/>
          <w:color w:val="141413"/>
        </w:rPr>
        <w:t>JAVMA March 2012</w:t>
      </w:r>
    </w:p>
    <w:p w:rsidR="0065297D" w:rsidRPr="0065297D" w:rsidRDefault="0065297D" w:rsidP="006529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5297D">
        <w:rPr>
          <w:rFonts w:ascii="Helvetica" w:hAnsi="Helvetica" w:cs="Helvetica"/>
          <w:color w:val="141413"/>
        </w:rPr>
        <w:t>Objective—To evaluate the efficacy of administration of a single 12-mL dose of canine parvovirus (CPV)-immune plasma for treatment of CPV enteritis.</w:t>
      </w:r>
    </w:p>
    <w:p w:rsidR="0065297D" w:rsidRPr="0065297D" w:rsidRDefault="0065297D" w:rsidP="006529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5297D">
        <w:rPr>
          <w:rFonts w:ascii="Helvetica" w:hAnsi="Helvetica" w:cs="Helvetica"/>
          <w:color w:val="141413"/>
        </w:rPr>
        <w:t>Design—Prospective, randomized, double-blinded, placebo-controlled clinical trial.</w:t>
      </w:r>
    </w:p>
    <w:p w:rsidR="0065297D" w:rsidRPr="0065297D" w:rsidRDefault="0065297D" w:rsidP="006529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5297D">
        <w:rPr>
          <w:rFonts w:ascii="Helvetica" w:hAnsi="Helvetica" w:cs="Helvetica"/>
          <w:color w:val="141413"/>
        </w:rPr>
        <w:t>Animals—14 dogs with naturally occurring CPV enteritis.</w:t>
      </w:r>
    </w:p>
    <w:p w:rsidR="0065297D" w:rsidRPr="0065297D" w:rsidRDefault="0065297D" w:rsidP="006529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5297D">
        <w:rPr>
          <w:rFonts w:ascii="Helvetica" w:hAnsi="Helvetica" w:cs="Helvetica"/>
          <w:color w:val="141413"/>
        </w:rPr>
        <w:t>Procedures—Dogs were assigned to treatment groups on the basis of randomization ta- bles and were administered a single IV dose of CPV-immune plasma (treatment group) or an equivalent volume of saline (0.9% NaCl) solution (placebo group) within 18 hours after admission to the hospital. Treatment and outcome variables evaluated included neutrophil, monocyte, and CPV counts; number of days of hospitalization; changes in body weight; and cost of treatment.</w:t>
      </w:r>
    </w:p>
    <w:p w:rsidR="0065297D" w:rsidRPr="0065297D" w:rsidRDefault="0065297D" w:rsidP="006529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5297D">
        <w:rPr>
          <w:rFonts w:ascii="Helvetica" w:hAnsi="Helvetica" w:cs="Helvetica"/>
          <w:color w:val="141413"/>
        </w:rPr>
        <w:t>Results—When dogs treated with CPV-immune plasma were compared with dogs treated with saline solution, there were no significant differences detected among neutrophil or monocyte counts, magnitude of viremia, weight change, number of days of hospitalization, or cost of treatment.</w:t>
      </w:r>
    </w:p>
    <w:p w:rsidR="00554F03" w:rsidRDefault="0065297D" w:rsidP="0065297D">
      <w:pPr>
        <w:rPr>
          <w:rFonts w:ascii="Helvetica" w:hAnsi="Helvetica" w:cs="Helvetica"/>
          <w:color w:val="141413"/>
        </w:rPr>
      </w:pPr>
      <w:r w:rsidRPr="0065297D">
        <w:rPr>
          <w:rFonts w:ascii="Helvetica" w:hAnsi="Helvetica" w:cs="Helvetica"/>
          <w:color w:val="141413"/>
        </w:rPr>
        <w:t xml:space="preserve">Conclusions and Clinical Relevance—Administration of a single 12-mL dose of immune plasma soon after the onset of CPV enteritis in dogs was not effective in ameliorating clinical signs, reducing viremia, or hastening hematologic recovery. </w:t>
      </w:r>
    </w:p>
    <w:p w:rsidR="0065297D" w:rsidRDefault="0065297D" w:rsidP="0065297D">
      <w:pPr>
        <w:rPr>
          <w:rFonts w:ascii="Helvetica" w:hAnsi="Helvetica" w:cs="Helvetica"/>
          <w:color w:val="141413"/>
        </w:rPr>
      </w:pPr>
    </w:p>
    <w:p w:rsidR="0065297D" w:rsidRDefault="0065297D" w:rsidP="0065297D">
      <w:pPr>
        <w:rPr>
          <w:rFonts w:ascii="Helvetica" w:hAnsi="Helvetica" w:cs="Helvetica"/>
          <w:color w:val="141413"/>
        </w:rPr>
      </w:pPr>
      <w:r>
        <w:rPr>
          <w:rFonts w:ascii="Helvetica" w:hAnsi="Helvetica" w:cs="Helvetica"/>
          <w:color w:val="141413"/>
        </w:rPr>
        <w:t>TAKE HOME POINTS:</w:t>
      </w:r>
    </w:p>
    <w:p w:rsidR="0065297D" w:rsidRDefault="0065297D" w:rsidP="0065297D">
      <w:pPr>
        <w:rPr>
          <w:rFonts w:ascii="Helvetica" w:hAnsi="Helvetica" w:cs="Helvetica"/>
          <w:color w:val="141413"/>
        </w:rPr>
      </w:pPr>
    </w:p>
    <w:p w:rsidR="0065297D" w:rsidRPr="00E30C64" w:rsidRDefault="00E30C64" w:rsidP="0065297D">
      <w:pPr>
        <w:pStyle w:val="ListParagraph"/>
        <w:numPr>
          <w:ilvl w:val="0"/>
          <w:numId w:val="4"/>
        </w:numPr>
        <w:rPr>
          <w:rFonts w:cs="Helvetica"/>
          <w:color w:val="141413"/>
        </w:rPr>
      </w:pPr>
      <w:r>
        <w:rPr>
          <w:rFonts w:cs="Times"/>
          <w:color w:val="141413"/>
        </w:rPr>
        <w:t xml:space="preserve">No </w:t>
      </w:r>
      <w:r w:rsidRPr="00E30C64">
        <w:rPr>
          <w:rFonts w:cs="Times"/>
          <w:color w:val="141413"/>
        </w:rPr>
        <w:t>evidence that the administration of a single dose of 12 mL of CPV-immune plasma to</w:t>
      </w:r>
      <w:r>
        <w:rPr>
          <w:rFonts w:cs="Times"/>
          <w:color w:val="141413"/>
        </w:rPr>
        <w:t xml:space="preserve"> dogs within 24 hours after on</w:t>
      </w:r>
      <w:r w:rsidRPr="00E30C64">
        <w:rPr>
          <w:rFonts w:cs="Times"/>
          <w:color w:val="141413"/>
        </w:rPr>
        <w:t xml:space="preserve">set of clinical signs of CPV enteritis had any effect on the return of hematologic values </w:t>
      </w:r>
      <w:r>
        <w:rPr>
          <w:rFonts w:cs="Times"/>
          <w:color w:val="141413"/>
        </w:rPr>
        <w:t xml:space="preserve">(neutrophil and monocyte count) </w:t>
      </w:r>
      <w:r w:rsidRPr="00E30C64">
        <w:rPr>
          <w:rFonts w:cs="Times"/>
          <w:color w:val="141413"/>
        </w:rPr>
        <w:t>to the reference range, CPV viremia, duration of hospitalization, or cost of treatment.</w:t>
      </w:r>
    </w:p>
    <w:p w:rsidR="00E30C64" w:rsidRDefault="00E30C64" w:rsidP="00E30C64">
      <w:pPr>
        <w:rPr>
          <w:rFonts w:cs="Helvetica"/>
          <w:color w:val="141413"/>
        </w:rPr>
      </w:pPr>
    </w:p>
    <w:p w:rsidR="00CE7091" w:rsidRDefault="00CE7091" w:rsidP="00CE70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Morphometric features of the craniocervical junction region in dogs with suspected Chiari-like malformation determined by combined use of magnetic resonance imaging and computed tomography</w:t>
      </w:r>
    </w:p>
    <w:p w:rsidR="00CE7091" w:rsidRPr="00CE7091" w:rsidRDefault="00CE7091" w:rsidP="00CE70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141413"/>
        </w:rPr>
      </w:pPr>
      <w:r w:rsidRPr="00CE7091">
        <w:rPr>
          <w:rFonts w:cs="Times"/>
          <w:color w:val="141413"/>
        </w:rPr>
        <w:t>Dominic J. Marino, DVM; Catherine A. Loughin, DVM; Curtis W. Dewey, DVM, MS; Leonard J. Marino, MD; Joseph J. Sackman; Martin L. Lesser, PhD; Meredith B. Akerman, MS</w:t>
      </w:r>
    </w:p>
    <w:p w:rsidR="00CE7091" w:rsidRPr="00CE7091" w:rsidRDefault="00CE7091" w:rsidP="00CE70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7091">
        <w:rPr>
          <w:rFonts w:cs="Helvetica"/>
          <w:color w:val="141413"/>
        </w:rPr>
        <w:t>Objective—To objectively describe morphometric features of the craniocervical junction region of Cavalier King Charles Spaniels (CKCSs) and no</w:t>
      </w:r>
      <w:r>
        <w:rPr>
          <w:rFonts w:cs="Helvetica"/>
          <w:color w:val="141413"/>
        </w:rPr>
        <w:t>n-CKCS dogs with suspected Chi</w:t>
      </w:r>
      <w:r w:rsidRPr="00CE7091">
        <w:rPr>
          <w:rFonts w:cs="Helvetica"/>
          <w:color w:val="141413"/>
        </w:rPr>
        <w:t>ari-like malformation (CLM) and identify associations betwe</w:t>
      </w:r>
      <w:r>
        <w:rPr>
          <w:rFonts w:cs="Helvetica"/>
          <w:color w:val="141413"/>
        </w:rPr>
        <w:t>en these features and the pres</w:t>
      </w:r>
      <w:r w:rsidRPr="00CE7091">
        <w:rPr>
          <w:rFonts w:cs="Helvetica"/>
          <w:color w:val="141413"/>
        </w:rPr>
        <w:t>ence of other malformations in this region.</w:t>
      </w:r>
    </w:p>
    <w:p w:rsidR="00CE7091" w:rsidRPr="00CE7091" w:rsidRDefault="00CE7091" w:rsidP="00CE70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7091">
        <w:rPr>
          <w:rFonts w:cs="Helvetica"/>
          <w:color w:val="141413"/>
        </w:rPr>
        <w:t>Animals—216 CKCSs and 58 non-CKCS dogs.</w:t>
      </w:r>
    </w:p>
    <w:p w:rsidR="00CE7091" w:rsidRPr="00CE7091" w:rsidRDefault="00CE7091" w:rsidP="00CE70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7091">
        <w:rPr>
          <w:rFonts w:cs="Helvetica"/>
          <w:color w:val="141413"/>
        </w:rPr>
        <w:t>Procedures—Magnetic resonance and computed tomographic images of the head and craniocervical junction region of patients evaluated because of suspected CLM were as- sessed for cerebellar compression (CC), ventral spinal co</w:t>
      </w:r>
      <w:r>
        <w:rPr>
          <w:rFonts w:cs="Helvetica"/>
          <w:color w:val="141413"/>
        </w:rPr>
        <w:t>rd compression at the C1-C2 ar</w:t>
      </w:r>
      <w:r w:rsidRPr="00CE7091">
        <w:rPr>
          <w:rFonts w:cs="Helvetica"/>
          <w:color w:val="141413"/>
        </w:rPr>
        <w:t>ticulation (medullary kinking), and dorsal spinal cord compression at the C1-C2 articulation (dorsal compression). A compression index was calculated for each of these 3 locations in each dog. Multiple logistic regression analysis was performed to determine whether breed (CKCS vs non-CKCS) and compression index values were associated with the presence of other craniocervical junction abnormalities.</w:t>
      </w:r>
    </w:p>
    <w:p w:rsidR="00CE7091" w:rsidRPr="00CE7091" w:rsidRDefault="00CE7091" w:rsidP="00CE70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7091">
        <w:rPr>
          <w:rFonts w:cs="Helvetica"/>
          <w:color w:val="141413"/>
        </w:rPr>
        <w:t>Results—All 274 dogs had CC; medullary kinking was identified in 187 (68.2%) and dorsal compression was identified in 104 (38.0%). Atlantooccipita</w:t>
      </w:r>
      <w:r w:rsidR="00B566FF">
        <w:rPr>
          <w:rFonts w:cs="Helvetica"/>
          <w:color w:val="141413"/>
        </w:rPr>
        <w:t>l overlapping (AOO) was identi</w:t>
      </w:r>
      <w:r w:rsidRPr="00CE7091">
        <w:rPr>
          <w:rFonts w:cs="Helvetica"/>
          <w:color w:val="141413"/>
        </w:rPr>
        <w:t>fied in 76 (27.7%) dogs. Breed of dog (CKCS vs non-CKCS) and value of CC index were the only significant predictors of AOO. The CKCSs had an almost 5-fold decrease in risk of AOO, compared with the non-CKCS dogs, and the risk of AOO nearly doubled for every 10% increase in CC index.</w:t>
      </w:r>
    </w:p>
    <w:p w:rsidR="00E30C64" w:rsidRDefault="00CE7091" w:rsidP="00CE7091">
      <w:pPr>
        <w:rPr>
          <w:rFonts w:cs="Helvetica"/>
          <w:color w:val="141413"/>
        </w:rPr>
      </w:pPr>
      <w:r w:rsidRPr="00CE7091">
        <w:rPr>
          <w:rFonts w:cs="Helvetica"/>
          <w:color w:val="141413"/>
        </w:rPr>
        <w:t xml:space="preserve">Conclusions and Clinical Relevance—The anatomic abnormality responsible for CC was AOO in a substantial percentage of dogs suspected to have CLM. The CC index value may be used to help differentiate subtypes of craniocervical junction abnormalities in dogs. </w:t>
      </w:r>
    </w:p>
    <w:p w:rsidR="00CA3039" w:rsidRDefault="00CA3039" w:rsidP="00CE7091">
      <w:pPr>
        <w:rPr>
          <w:rFonts w:cs="Helvetica"/>
          <w:color w:val="141413"/>
        </w:rPr>
      </w:pPr>
      <w:r>
        <w:rPr>
          <w:rFonts w:cs="Helvetica"/>
          <w:color w:val="141413"/>
        </w:rPr>
        <w:t>TAKE HOME POINTS:</w:t>
      </w:r>
    </w:p>
    <w:p w:rsidR="00CA3039" w:rsidRPr="005F0DF2" w:rsidRDefault="00CA3039" w:rsidP="00CA3039">
      <w:pPr>
        <w:pStyle w:val="ListParagraph"/>
        <w:numPr>
          <w:ilvl w:val="0"/>
          <w:numId w:val="4"/>
        </w:numPr>
        <w:rPr>
          <w:rFonts w:cs="Helvetica"/>
          <w:color w:val="141413"/>
        </w:rPr>
      </w:pPr>
      <w:r w:rsidRPr="005F0DF2">
        <w:rPr>
          <w:rFonts w:ascii="Times" w:hAnsi="Times" w:cs="Times"/>
          <w:color w:val="141413"/>
        </w:rPr>
        <w:t xml:space="preserve">All dogs had some degree of CC. Among the 274 dogs, there were 187 (68.2%) dogs with concurrent MK and 104 (38.0%) with </w:t>
      </w:r>
      <w:r w:rsidR="005F0DF2" w:rsidRPr="005F0DF2">
        <w:rPr>
          <w:rFonts w:ascii="Times" w:hAnsi="Times" w:cs="Times"/>
          <w:color w:val="141413"/>
        </w:rPr>
        <w:t>concurrent DC. Based on evalua</w:t>
      </w:r>
      <w:r w:rsidRPr="005F0DF2">
        <w:rPr>
          <w:rFonts w:ascii="Times" w:hAnsi="Times" w:cs="Times"/>
          <w:color w:val="141413"/>
        </w:rPr>
        <w:t>tion of 3-D reconstructed CT images, 76 of 274 (27.7%) dogs with CC had AOO</w:t>
      </w:r>
      <w:r w:rsidR="005F0DF2">
        <w:rPr>
          <w:rFonts w:ascii="Times" w:hAnsi="Times" w:cs="Times"/>
          <w:color w:val="141413"/>
        </w:rPr>
        <w:t xml:space="preserve"> rather than CLM</w:t>
      </w:r>
      <w:r w:rsidRPr="005F0DF2">
        <w:rPr>
          <w:rFonts w:ascii="Times" w:hAnsi="Times" w:cs="Times"/>
          <w:color w:val="141413"/>
        </w:rPr>
        <w:t xml:space="preserve">. </w:t>
      </w:r>
      <w:r w:rsidR="005F0DF2">
        <w:rPr>
          <w:rFonts w:ascii="Times" w:hAnsi="Times" w:cs="Times"/>
          <w:color w:val="141413"/>
        </w:rPr>
        <w:t xml:space="preserve"> This underscores the need for CT in addition to MRI imaging.  </w:t>
      </w:r>
      <w:r w:rsidRPr="005F0DF2">
        <w:rPr>
          <w:rFonts w:ascii="Times" w:hAnsi="Times" w:cs="Times"/>
          <w:color w:val="141413"/>
        </w:rPr>
        <w:t>Atlantooccipital overlapping was found in 44 of 216 (20.4%) CKCSs and 32 of 58 (55.2%) non-CKCS dogs.</w:t>
      </w:r>
    </w:p>
    <w:p w:rsidR="005F0DF2" w:rsidRPr="005F0DF2" w:rsidRDefault="005F0DF2" w:rsidP="00CA3039">
      <w:pPr>
        <w:pStyle w:val="ListParagraph"/>
        <w:numPr>
          <w:ilvl w:val="0"/>
          <w:numId w:val="4"/>
        </w:numPr>
        <w:rPr>
          <w:rFonts w:cs="Helvetica"/>
          <w:color w:val="141413"/>
        </w:rPr>
      </w:pPr>
      <w:r w:rsidRPr="005F0DF2">
        <w:rPr>
          <w:rFonts w:ascii="Times" w:hAnsi="Times" w:cs="Times"/>
          <w:color w:val="141413"/>
        </w:rPr>
        <w:t>Intraobserver reliability for the DC and MK indices ranged from 0.94 to 0.99, indicating outstanding reliability with repetition. Intraobserver reliability for the CC index ranged from 0.51 to 0.74. Similarly, interobserver reliabilities for the DC and MK indices (range, 0.93 to 0.99) were higher than that for the CC index (range, 0.52 to 0.70).</w:t>
      </w:r>
    </w:p>
    <w:p w:rsidR="005F0DF2" w:rsidRPr="00B21388" w:rsidRDefault="00B21388" w:rsidP="00CA3039">
      <w:pPr>
        <w:pStyle w:val="ListParagraph"/>
        <w:numPr>
          <w:ilvl w:val="0"/>
          <w:numId w:val="4"/>
        </w:numPr>
        <w:rPr>
          <w:rFonts w:cs="Helvetica"/>
          <w:color w:val="141413"/>
        </w:rPr>
      </w:pPr>
      <w:r w:rsidRPr="00B21388">
        <w:rPr>
          <w:rFonts w:ascii="Times" w:hAnsi="Times" w:cs="Times"/>
          <w:color w:val="141413"/>
        </w:rPr>
        <w:t xml:space="preserve">Optimal cutoff points for the prediction of AOO based on the CC index were determined in this study. A CKCS was classified as having AOO if the CC index was </w:t>
      </w:r>
      <w:r w:rsidRPr="00B21388">
        <w:rPr>
          <w:rFonts w:ascii="Helvetica" w:hAnsi="Helvetica" w:cs="Helvetica"/>
          <w:color w:val="141413"/>
        </w:rPr>
        <w:t xml:space="preserve">&gt; </w:t>
      </w:r>
      <w:r w:rsidRPr="00B21388">
        <w:rPr>
          <w:rFonts w:ascii="Times" w:hAnsi="Times" w:cs="Times"/>
          <w:color w:val="141413"/>
        </w:rPr>
        <w:t xml:space="preserve">16.1%; a non-CKCS dog was classified as having AOO if the CC index was </w:t>
      </w:r>
      <w:r w:rsidRPr="00B21388">
        <w:rPr>
          <w:rFonts w:ascii="Helvetica" w:hAnsi="Helvetica" w:cs="Helvetica"/>
          <w:color w:val="141413"/>
        </w:rPr>
        <w:t xml:space="preserve">&gt; </w:t>
      </w:r>
      <w:r w:rsidRPr="00B21388">
        <w:rPr>
          <w:rFonts w:ascii="Times" w:hAnsi="Times" w:cs="Times"/>
          <w:color w:val="141413"/>
        </w:rPr>
        <w:t>12.3%.</w:t>
      </w:r>
    </w:p>
    <w:p w:rsidR="00B21388" w:rsidRPr="00B21388" w:rsidRDefault="00B21388" w:rsidP="00CA3039">
      <w:pPr>
        <w:pStyle w:val="ListParagraph"/>
        <w:numPr>
          <w:ilvl w:val="0"/>
          <w:numId w:val="4"/>
        </w:numPr>
        <w:rPr>
          <w:rFonts w:cs="Helvetica"/>
          <w:color w:val="141413"/>
        </w:rPr>
      </w:pPr>
      <w:r>
        <w:rPr>
          <w:rFonts w:ascii="Times" w:hAnsi="Times" w:cs="Times"/>
          <w:color w:val="141413"/>
        </w:rPr>
        <w:t>Only CC index and breed were significant predictors of AOO.  CKCS had an approximately 5-fold decrease in the risk of AOO, compared with non-CKCS dogs</w:t>
      </w:r>
    </w:p>
    <w:p w:rsidR="00B21388" w:rsidRPr="0031272D" w:rsidRDefault="00B21388" w:rsidP="00CA3039">
      <w:pPr>
        <w:pStyle w:val="ListParagraph"/>
        <w:numPr>
          <w:ilvl w:val="0"/>
          <w:numId w:val="4"/>
        </w:numPr>
        <w:rPr>
          <w:rFonts w:cs="Helvetica"/>
          <w:color w:val="141413"/>
        </w:rPr>
      </w:pPr>
      <w:r>
        <w:rPr>
          <w:rFonts w:ascii="Times" w:hAnsi="Times" w:cs="Times"/>
          <w:color w:val="141413"/>
        </w:rPr>
        <w:t>For every 10% increase in CC index, the risk of AOO nearly doubled.</w:t>
      </w:r>
    </w:p>
    <w:p w:rsidR="0031272D" w:rsidRDefault="0031272D" w:rsidP="0031272D">
      <w:pPr>
        <w:rPr>
          <w:rFonts w:cs="Helvetica"/>
          <w:color w:val="141413"/>
        </w:rPr>
      </w:pPr>
    </w:p>
    <w:p w:rsidR="0031272D" w:rsidRDefault="0031272D" w:rsidP="0031272D">
      <w:pPr>
        <w:rPr>
          <w:rFonts w:cs="Helvetica"/>
          <w:color w:val="141413"/>
        </w:rPr>
      </w:pPr>
    </w:p>
    <w:p w:rsidR="0031272D" w:rsidRDefault="0031272D" w:rsidP="00312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Use of contrast echocardiography for quantitative and qualitative evaluation of myocardial perfusion and pulmonary transit time in healthy dogs</w:t>
      </w:r>
    </w:p>
    <w:p w:rsidR="0031272D" w:rsidRDefault="0031272D" w:rsidP="00312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sidRPr="0031272D">
        <w:rPr>
          <w:rFonts w:ascii="Times" w:hAnsi="Times" w:cs="Times"/>
          <w:color w:val="141413"/>
        </w:rPr>
        <w:t>Serena Crosara, DVM, PhD; Ingrid Ljungvall, DVM, PhD; Marco L. Margiocco, DVM; Jens Häggström, DVM, PhD; Alberto Tarducci, DVM; Michele Borgarelli, DVM, PhD</w:t>
      </w:r>
    </w:p>
    <w:p w:rsidR="00AB1AC2" w:rsidRPr="0031272D" w:rsidRDefault="00AB1AC2" w:rsidP="00312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Pr>
          <w:rFonts w:ascii="Times" w:hAnsi="Times" w:cs="Times"/>
          <w:color w:val="141413"/>
        </w:rPr>
        <w:t>AJVR Feb 2012</w:t>
      </w:r>
    </w:p>
    <w:p w:rsidR="0031272D" w:rsidRPr="0031272D" w:rsidRDefault="0031272D" w:rsidP="00312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1272D">
        <w:rPr>
          <w:rFonts w:ascii="Helvetica" w:hAnsi="Helvetica" w:cs="Helvetica"/>
          <w:color w:val="141413"/>
        </w:rPr>
        <w:t>Objective—To evaluate reproducibility of ejection fraction (EF), myocardial perfusion (MP), and pulmonary transit time (PTT) measured in a group of dogs by use of contrast echocardiography and to examine safety of this method by evaluating cardiac troponin I concentrations.</w:t>
      </w:r>
    </w:p>
    <w:p w:rsidR="0031272D" w:rsidRPr="0031272D" w:rsidRDefault="0031272D" w:rsidP="00312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1272D">
        <w:rPr>
          <w:rFonts w:ascii="Helvetica" w:hAnsi="Helvetica" w:cs="Helvetica"/>
          <w:color w:val="141413"/>
        </w:rPr>
        <w:t>Animals—6 healthy dogs.</w:t>
      </w:r>
    </w:p>
    <w:p w:rsidR="0031272D" w:rsidRPr="0031272D" w:rsidRDefault="0031272D" w:rsidP="00312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1272D">
        <w:rPr>
          <w:rFonts w:ascii="Helvetica" w:hAnsi="Helvetica" w:cs="Helvetica"/>
          <w:color w:val="141413"/>
        </w:rPr>
        <w:t>Procedures—2 bolus injections and a constant rate infusion of contrast agent were admin- istered IV. Echocardiographic EF was determined by use of the area-length method and was calculated without and with contrast agent. The PTT and normalized PTT (PTT/mean R-R interval) were measured for each bolus. Constant rate infusion was used for global MP evaluation, and regional MP was calculated by use of a real-time method in 4 regions of interest of the left ventricle. Cardiac troponin I concentration was analyzed before and after contrast agent administration. Intraoberserver and interobserver variability was calculated.</w:t>
      </w:r>
    </w:p>
    <w:p w:rsidR="0031272D" w:rsidRPr="0031272D" w:rsidRDefault="0031272D" w:rsidP="00312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31272D">
        <w:rPr>
          <w:rFonts w:ascii="Helvetica" w:hAnsi="Helvetica" w:cs="Helvetica"/>
          <w:color w:val="141413"/>
        </w:rPr>
        <w:t>Results—EF was easier to determine with the ultrasonographic contrast agent. For the first and second bolus, mean ± SD PTT was 1.8 ± 0.2 seconds and 2.1 ± 0.3 seconds and normalized PTT was 3.4 ± 0.3 seconds and 3.5 ± 0.3 seconds, respectively. A coefficient of variation &lt; 15% was obtained for global MP but not for the regional MPs. No differences were detected between precontrast and postcontrast cardiac troponin I concentrations.</w:t>
      </w:r>
    </w:p>
    <w:p w:rsidR="0031272D" w:rsidRDefault="0031272D" w:rsidP="0031272D">
      <w:pPr>
        <w:rPr>
          <w:rFonts w:ascii="Helvetica" w:hAnsi="Helvetica" w:cs="Helvetica"/>
          <w:color w:val="141413"/>
        </w:rPr>
      </w:pPr>
      <w:r w:rsidRPr="0031272D">
        <w:rPr>
          <w:rFonts w:ascii="Helvetica" w:hAnsi="Helvetica" w:cs="Helvetica"/>
          <w:color w:val="141413"/>
        </w:rPr>
        <w:t>Conclusions and Clinical Relevance—Contrast echocardio</w:t>
      </w:r>
      <w:r w:rsidR="00AB1AC2">
        <w:rPr>
          <w:rFonts w:ascii="Helvetica" w:hAnsi="Helvetica" w:cs="Helvetica"/>
          <w:color w:val="141413"/>
        </w:rPr>
        <w:t>graphy appeared to be a repeat</w:t>
      </w:r>
      <w:r w:rsidRPr="0031272D">
        <w:rPr>
          <w:rFonts w:ascii="Helvetica" w:hAnsi="Helvetica" w:cs="Helvetica"/>
          <w:color w:val="141413"/>
        </w:rPr>
        <w:t>able and safe technique for use in the evaluation of global MP and PTT in healthy dogs, and it improved delineation of the endocardial border in dogs.</w:t>
      </w:r>
    </w:p>
    <w:p w:rsidR="00AB1AC2" w:rsidRDefault="00AB1AC2" w:rsidP="00AB1AC2">
      <w:pPr>
        <w:rPr>
          <w:rFonts w:ascii="Helvetica" w:hAnsi="Helvetica" w:cs="Helvetica"/>
          <w:color w:val="141413"/>
        </w:rPr>
      </w:pPr>
    </w:p>
    <w:p w:rsidR="00AB1AC2" w:rsidRDefault="00AB1AC2" w:rsidP="00AB1AC2">
      <w:pPr>
        <w:rPr>
          <w:rFonts w:ascii="Helvetica" w:hAnsi="Helvetica" w:cs="Helvetica"/>
          <w:color w:val="141413"/>
        </w:rPr>
      </w:pPr>
      <w:r w:rsidRPr="00AB1AC2">
        <w:rPr>
          <w:rFonts w:ascii="Helvetica" w:hAnsi="Helvetica" w:cs="Helvetica"/>
          <w:color w:val="141413"/>
        </w:rPr>
        <w:t>Take Home Points:</w:t>
      </w:r>
    </w:p>
    <w:p w:rsidR="00AB1AC2" w:rsidRPr="00AB1AC2" w:rsidRDefault="00AB1AC2" w:rsidP="00AB1AC2">
      <w:pPr>
        <w:pStyle w:val="ListParagraph"/>
        <w:numPr>
          <w:ilvl w:val="0"/>
          <w:numId w:val="6"/>
        </w:numPr>
        <w:rPr>
          <w:rFonts w:cs="Helvetica"/>
          <w:color w:val="141413"/>
        </w:rPr>
      </w:pPr>
      <w:r w:rsidRPr="00AB1AC2">
        <w:rPr>
          <w:rFonts w:ascii="Times" w:hAnsi="Times" w:cs="Times"/>
          <w:color w:val="141413"/>
        </w:rPr>
        <w:t>The first gas-based echocardiographic contrast agent described and used in clinical practice was agitated saline (0.9% NaCl) solution. The primary use of agitated saline solution, which was dictated by the size of its gas particles and its limited stability, was for the detection of right-to-left intracardiac or extracardiac shunts.</w:t>
      </w:r>
    </w:p>
    <w:p w:rsidR="00AB1AC2" w:rsidRPr="00AB1AC2" w:rsidRDefault="00AB1AC2" w:rsidP="00AB1AC2">
      <w:pPr>
        <w:pStyle w:val="ListParagraph"/>
        <w:numPr>
          <w:ilvl w:val="0"/>
          <w:numId w:val="6"/>
        </w:numPr>
        <w:rPr>
          <w:rFonts w:cs="Helvetica"/>
          <w:color w:val="141413"/>
        </w:rPr>
      </w:pPr>
      <w:r w:rsidRPr="00AB1AC2">
        <w:rPr>
          <w:rFonts w:ascii="Times" w:hAnsi="Times" w:cs="Times"/>
          <w:color w:val="141413"/>
        </w:rPr>
        <w:t>The second-generation contrast agents are characterized by particles that are smaller than RBCs, which means that they are not trapped by the pulmonary capillaries when injected in a peripheral vein and can opacify the left side of the heart. Thus, they can be used to improve delineation of the endocardial border or to evaluate MP.</w:t>
      </w:r>
    </w:p>
    <w:p w:rsidR="00AB1AC2" w:rsidRPr="00AB1AC2" w:rsidRDefault="00AB1AC2" w:rsidP="00AB1AC2">
      <w:pPr>
        <w:pStyle w:val="ListParagraph"/>
        <w:numPr>
          <w:ilvl w:val="0"/>
          <w:numId w:val="6"/>
        </w:numPr>
        <w:rPr>
          <w:rFonts w:cs="Helvetica"/>
          <w:color w:val="141413"/>
        </w:rPr>
      </w:pPr>
      <w:r w:rsidRPr="00AB1AC2">
        <w:rPr>
          <w:rFonts w:ascii="Times" w:hAnsi="Times" w:cs="Times"/>
          <w:color w:val="141413"/>
        </w:rPr>
        <w:t>In humans, contrast echocardiographic examination for assessment of MP permits simultaneous assessment of global and regional myocardial structure, function, and perfusion, which enables optimal noninvasive assessment of patients suspected of having coronary artery disease.</w:t>
      </w:r>
    </w:p>
    <w:p w:rsidR="00AB1AC2" w:rsidRPr="00AB1AC2" w:rsidRDefault="00AB1AC2" w:rsidP="00AB1AC2">
      <w:pPr>
        <w:pStyle w:val="ListParagraph"/>
        <w:numPr>
          <w:ilvl w:val="0"/>
          <w:numId w:val="6"/>
        </w:numPr>
        <w:rPr>
          <w:rFonts w:cs="Helvetica"/>
          <w:color w:val="141413"/>
        </w:rPr>
      </w:pPr>
      <w:r w:rsidRPr="00AB1AC2">
        <w:rPr>
          <w:rFonts w:ascii="Times" w:hAnsi="Times" w:cs="Times"/>
          <w:color w:val="141413"/>
        </w:rPr>
        <w:t xml:space="preserve">Coronary artery disease is not a common issue in veterinary patients, but defects in the coronary microcirculation have been described in dogs with various cardiac diseases.  Small-vessel disease with narrowing of coronary vessels </w:t>
      </w:r>
      <w:r w:rsidR="0089439F" w:rsidRPr="0089439F">
        <w:rPr>
          <w:rFonts w:ascii="Times" w:hAnsi="Times" w:cs="Times"/>
          <w:color w:val="141413"/>
        </w:rPr>
        <w:t xml:space="preserve">(intramural small-vessel disease has been described in animals with various diseases such as myxomatous mitral valve disease, subaortic stenosis, and hypertrophic cardiomyopathy) </w:t>
      </w:r>
      <w:r w:rsidRPr="0089439F">
        <w:rPr>
          <w:rFonts w:ascii="Times" w:hAnsi="Times" w:cs="Times"/>
          <w:color w:val="141413"/>
        </w:rPr>
        <w:t>may</w:t>
      </w:r>
      <w:r w:rsidRPr="00AB1AC2">
        <w:rPr>
          <w:rFonts w:ascii="Times" w:hAnsi="Times" w:cs="Times"/>
          <w:color w:val="141413"/>
        </w:rPr>
        <w:t xml:space="preserve"> lead to subendocardial ischemia, and the use of echocardiographic contrast agents could allow for the evaluation of MP and provide a clinically applicable tool for the noninvasive assessment of myocardial ischemia in these patients.</w:t>
      </w:r>
    </w:p>
    <w:p w:rsidR="00AB1AC2" w:rsidRPr="003E2CE8" w:rsidRDefault="00AB1AC2" w:rsidP="00AB1AC2">
      <w:pPr>
        <w:pStyle w:val="ListParagraph"/>
        <w:numPr>
          <w:ilvl w:val="0"/>
          <w:numId w:val="6"/>
        </w:numPr>
        <w:rPr>
          <w:rFonts w:cs="Helvetica"/>
          <w:color w:val="141413"/>
        </w:rPr>
      </w:pPr>
      <w:r w:rsidRPr="00AB1AC2">
        <w:rPr>
          <w:rFonts w:ascii="Times" w:hAnsi="Times" w:cs="Times"/>
          <w:color w:val="141413"/>
        </w:rPr>
        <w:t>In dogs with congestive heart failure, PTT and nPTT increase as a consequence of reduced cardiac output, increased pulmonary blood volume, or a combination of both.</w:t>
      </w:r>
    </w:p>
    <w:p w:rsidR="003E2CE8" w:rsidRPr="0089439F" w:rsidRDefault="003E2CE8" w:rsidP="00AB1AC2">
      <w:pPr>
        <w:pStyle w:val="ListParagraph"/>
        <w:numPr>
          <w:ilvl w:val="0"/>
          <w:numId w:val="6"/>
        </w:numPr>
        <w:rPr>
          <w:rFonts w:cs="Helvetica"/>
          <w:color w:val="141413"/>
        </w:rPr>
      </w:pPr>
      <w:r w:rsidRPr="003E2CE8">
        <w:rPr>
          <w:rFonts w:ascii="Times" w:hAnsi="Times" w:cs="Times"/>
          <w:color w:val="141413"/>
        </w:rPr>
        <w:t>Evidence exists to support the contention that contraction and expansion of microbubbles of contrast agent in an acoustic field, a phenomenon known as cavitation, may cause local myocardial damage in dogs</w:t>
      </w:r>
      <w:r>
        <w:rPr>
          <w:rFonts w:ascii="Times" w:hAnsi="Times" w:cs="Times"/>
          <w:color w:val="141413"/>
        </w:rPr>
        <w:t>- cTnI</w:t>
      </w:r>
    </w:p>
    <w:p w:rsidR="0089439F" w:rsidRPr="0089439F" w:rsidRDefault="0089439F" w:rsidP="00AB1AC2">
      <w:pPr>
        <w:pStyle w:val="ListParagraph"/>
        <w:numPr>
          <w:ilvl w:val="0"/>
          <w:numId w:val="6"/>
        </w:numPr>
        <w:rPr>
          <w:rFonts w:cs="Helvetica"/>
          <w:color w:val="141413"/>
        </w:rPr>
      </w:pPr>
      <w:r w:rsidRPr="0089439F">
        <w:rPr>
          <w:rFonts w:ascii="Times" w:hAnsi="Times" w:cs="Times"/>
          <w:color w:val="141413"/>
        </w:rPr>
        <w:t>The contrast agent was a suspension of stabilized gaseous microbubbles (perfluorocarbon gas) in saline solution.</w:t>
      </w:r>
    </w:p>
    <w:p w:rsidR="00071B5C" w:rsidRPr="003E2CE8" w:rsidRDefault="00071B5C" w:rsidP="00AB1AC2">
      <w:pPr>
        <w:pStyle w:val="ListParagraph"/>
        <w:numPr>
          <w:ilvl w:val="0"/>
          <w:numId w:val="6"/>
        </w:numPr>
        <w:rPr>
          <w:rFonts w:cs="Helvetica"/>
          <w:color w:val="141413"/>
        </w:rPr>
      </w:pPr>
      <w:r>
        <w:rPr>
          <w:rFonts w:ascii="Times" w:hAnsi="Times" w:cs="Times"/>
          <w:color w:val="141413"/>
        </w:rPr>
        <w:t xml:space="preserve">EF evaluated with left </w:t>
      </w:r>
      <w:r w:rsidR="0089439F">
        <w:rPr>
          <w:rFonts w:ascii="Times" w:hAnsi="Times" w:cs="Times"/>
          <w:color w:val="141413"/>
        </w:rPr>
        <w:t xml:space="preserve">apical </w:t>
      </w:r>
      <w:r>
        <w:rPr>
          <w:rFonts w:ascii="Times" w:hAnsi="Times" w:cs="Times"/>
          <w:color w:val="141413"/>
        </w:rPr>
        <w:t xml:space="preserve">long axis </w:t>
      </w:r>
      <w:r w:rsidR="0089439F">
        <w:rPr>
          <w:rFonts w:ascii="Times" w:hAnsi="Times" w:cs="Times"/>
          <w:color w:val="141413"/>
        </w:rPr>
        <w:t xml:space="preserve">view </w:t>
      </w:r>
      <w:r>
        <w:rPr>
          <w:rFonts w:ascii="Times" w:hAnsi="Times" w:cs="Times"/>
          <w:color w:val="141413"/>
        </w:rPr>
        <w:t>via area-length method</w:t>
      </w:r>
    </w:p>
    <w:p w:rsidR="003E2CE8" w:rsidRPr="0089439F" w:rsidRDefault="003E2CE8" w:rsidP="00AB1AC2">
      <w:pPr>
        <w:pStyle w:val="ListParagraph"/>
        <w:numPr>
          <w:ilvl w:val="0"/>
          <w:numId w:val="6"/>
        </w:numPr>
        <w:rPr>
          <w:rFonts w:cs="Helvetica"/>
          <w:color w:val="141413"/>
        </w:rPr>
      </w:pPr>
      <w:r w:rsidRPr="0089439F">
        <w:rPr>
          <w:rFonts w:ascii="Times" w:hAnsi="Times" w:cs="Times"/>
          <w:color w:val="141413"/>
        </w:rPr>
        <w:t>The PTT was estimated as the number of seconds from the first frame in which bubbles started to fill the right atrium to the first frame in which the contrast agent reached the left atrium.  The nPTT was calculated by dividing PTT by the mean R-R interval of the measured heartbeats.</w:t>
      </w:r>
    </w:p>
    <w:p w:rsidR="003E2CE8" w:rsidRPr="0089439F" w:rsidRDefault="003E2CE8" w:rsidP="00AB1AC2">
      <w:pPr>
        <w:pStyle w:val="ListParagraph"/>
        <w:numPr>
          <w:ilvl w:val="0"/>
          <w:numId w:val="6"/>
        </w:numPr>
        <w:rPr>
          <w:rFonts w:cs="Helvetica"/>
          <w:color w:val="141413"/>
        </w:rPr>
      </w:pPr>
      <w:r w:rsidRPr="0089439F">
        <w:rPr>
          <w:rFonts w:ascii="Times" w:hAnsi="Times" w:cs="Times"/>
          <w:color w:val="141413"/>
        </w:rPr>
        <w:t>Qualitative assessment of global MP was performed as described elsewhere.  Briefly, MP was visually estimated as the number of cardiac cycles required for the myocardium to regain com- plete opacification after microbubble rupture. Cardiac cycles were counted frame by frame, starting from the first systole after the frame of the high MI flash. The LV myocardium was regarded as refilled when it entirely regained signal intensity comparable to the state before the high MI flash, as visually estimated via side-by-side comparisons of the cine loops</w:t>
      </w:r>
    </w:p>
    <w:p w:rsidR="00071B5C" w:rsidRPr="0089439F" w:rsidRDefault="00071B5C" w:rsidP="00AB1AC2">
      <w:pPr>
        <w:pStyle w:val="ListParagraph"/>
        <w:numPr>
          <w:ilvl w:val="0"/>
          <w:numId w:val="6"/>
        </w:numPr>
        <w:rPr>
          <w:rFonts w:cs="Helvetica"/>
          <w:color w:val="141413"/>
        </w:rPr>
      </w:pPr>
      <w:r w:rsidRPr="0089439F">
        <w:rPr>
          <w:rFonts w:ascii="Times" w:hAnsi="Times" w:cs="Times"/>
          <w:color w:val="141413"/>
        </w:rPr>
        <w:t xml:space="preserve">Regional quantitative assessment of MP was obtained by use of the software package embedded in the ultrasonographic unit for quantitative analysis. Quan- tification of mean signal intensity was obtained within manually placed oval ROIs of equal size (3 </w:t>
      </w:r>
      <w:r w:rsidRPr="0089439F">
        <w:rPr>
          <w:rFonts w:ascii="Helvetica" w:hAnsi="Helvetica" w:cs="Helvetica"/>
          <w:color w:val="141413"/>
        </w:rPr>
        <w:t xml:space="preserve">X </w:t>
      </w:r>
      <w:r w:rsidRPr="0089439F">
        <w:rPr>
          <w:rFonts w:ascii="Times" w:hAnsi="Times" w:cs="Times"/>
          <w:color w:val="141413"/>
        </w:rPr>
        <w:t>7 mm). The ROIs were located in 4 myocardial segments (BIVS, MIVS, BLVPW, and MLVPW).</w:t>
      </w:r>
    </w:p>
    <w:p w:rsidR="00071B5C" w:rsidRPr="0089439F" w:rsidRDefault="00071B5C" w:rsidP="00AB1AC2">
      <w:pPr>
        <w:pStyle w:val="ListParagraph"/>
        <w:numPr>
          <w:ilvl w:val="0"/>
          <w:numId w:val="6"/>
        </w:numPr>
        <w:rPr>
          <w:rFonts w:cs="Helvetica"/>
          <w:color w:val="141413"/>
        </w:rPr>
      </w:pPr>
      <w:r w:rsidRPr="0089439F">
        <w:rPr>
          <w:rFonts w:ascii="Times" w:hAnsi="Times" w:cs="Times"/>
          <w:color w:val="141413"/>
        </w:rPr>
        <w:t>Measurement of cTnI concentrations—Venous blood samples were collected into EDTA-containing tubes before and 1 hour after administration of the contrast agent.</w:t>
      </w:r>
    </w:p>
    <w:p w:rsidR="00071B5C" w:rsidRPr="00DB3D22" w:rsidRDefault="00071B5C" w:rsidP="00071B5C">
      <w:pPr>
        <w:pStyle w:val="ListParagraph"/>
        <w:numPr>
          <w:ilvl w:val="0"/>
          <w:numId w:val="6"/>
        </w:numPr>
        <w:rPr>
          <w:rFonts w:cs="Helvetica"/>
          <w:color w:val="141413"/>
        </w:rPr>
      </w:pPr>
      <w:r w:rsidRPr="0089439F">
        <w:rPr>
          <w:rFonts w:ascii="Times" w:hAnsi="Times" w:cs="Times"/>
          <w:color w:val="141413"/>
        </w:rPr>
        <w:t xml:space="preserve">Results- subjectively easier to obtain EF with contrast </w:t>
      </w:r>
      <w:r w:rsidR="0089439F" w:rsidRPr="0089439F">
        <w:rPr>
          <w:rFonts w:ascii="Times" w:hAnsi="Times" w:cs="Times"/>
          <w:color w:val="141413"/>
        </w:rPr>
        <w:t xml:space="preserve"> (1 dog not possible to determine without contrast) </w:t>
      </w:r>
      <w:r w:rsidRPr="0089439F">
        <w:rPr>
          <w:rFonts w:ascii="Times" w:hAnsi="Times" w:cs="Times"/>
          <w:color w:val="141413"/>
        </w:rPr>
        <w:t xml:space="preserve">but no statistically significant difference between mean EF contrast/wthout contrast; evaluation of PTT was subjectively easy to perform in all dogs.  No statistically sig difference between PTT/nPTT after first and second boluses of contrast agents; evaluation of global MP revealed evidence of unilateral bias in the interobserver comparison when the low </w:t>
      </w:r>
      <w:r w:rsidR="0089439F" w:rsidRPr="0089439F">
        <w:rPr>
          <w:rFonts w:ascii="Times" w:hAnsi="Times" w:cs="Times"/>
          <w:color w:val="141413"/>
        </w:rPr>
        <w:t>dose of contrast agent was used; data concerning the regional quantitative assessment of myocardial perfusion have poor reproducibility- not a reliable technique.</w:t>
      </w:r>
      <w:r w:rsidRPr="0089439F">
        <w:rPr>
          <w:rFonts w:ascii="Times" w:hAnsi="Times" w:cs="Times"/>
          <w:color w:val="141413"/>
        </w:rPr>
        <w:t xml:space="preserve">  No bias was observed in the interobserver comparison when the higher dose or either CRI was used; cTnI did not differ pre- or post-contrast and no significant adverse effects were noted. </w:t>
      </w:r>
    </w:p>
    <w:p w:rsidR="00DB3D22" w:rsidRDefault="00DB3D22" w:rsidP="00DB3D22">
      <w:pPr>
        <w:rPr>
          <w:rFonts w:cs="Helvetica"/>
          <w:color w:val="141413"/>
        </w:rPr>
      </w:pPr>
    </w:p>
    <w:p w:rsidR="00DB3D22" w:rsidRDefault="00DB3D22" w:rsidP="00DB3D22">
      <w:pPr>
        <w:rPr>
          <w:rFonts w:cs="Helvetica"/>
          <w:color w:val="141413"/>
        </w:rPr>
      </w:pPr>
    </w:p>
    <w:p w:rsidR="00DB3D22" w:rsidRDefault="00DB3D22" w:rsidP="00DB3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Effects of ivabradine on heart rate and left ventricular function in healthy cats and cats with hypertrophic cardiomyopathy</w:t>
      </w:r>
    </w:p>
    <w:p w:rsidR="00DB3D22" w:rsidRDefault="00DB3D22" w:rsidP="00DB3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141413"/>
        </w:rPr>
      </w:pPr>
      <w:r w:rsidRPr="00DB3D22">
        <w:rPr>
          <w:rFonts w:cs="Times"/>
          <w:color w:val="141413"/>
        </w:rPr>
        <w:t>Sabine C. Riesen, DVM, PhD; Karsten E. Schober, DVM, Dr med vet, Dr habil; Danielle N. Smith, DVM; Cristiane C. Otoni, DVM; Xiaobai Li, PhD; John D. Bonagura, DVM, MS</w:t>
      </w:r>
    </w:p>
    <w:p w:rsidR="00DB3D22" w:rsidRPr="00DB3D22" w:rsidRDefault="00DB3D22" w:rsidP="00DB3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141413"/>
        </w:rPr>
      </w:pPr>
      <w:r>
        <w:rPr>
          <w:rFonts w:cs="Times"/>
          <w:color w:val="141413"/>
        </w:rPr>
        <w:t>AJVR Feb 2012</w:t>
      </w:r>
    </w:p>
    <w:p w:rsidR="00DB3D22" w:rsidRPr="00DB3D22" w:rsidRDefault="00DB3D22" w:rsidP="00DB3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DB3D22">
        <w:rPr>
          <w:rFonts w:cs="Helvetica"/>
          <w:color w:val="141413"/>
        </w:rPr>
        <w:t>Objective—To evaluate the effects of the pacemaker funny current (If) inhibitor ivabradine on heart rate (HR), left ventricular (LV) systolic and diastolic fu</w:t>
      </w:r>
      <w:r>
        <w:rPr>
          <w:rFonts w:cs="Helvetica"/>
          <w:color w:val="141413"/>
        </w:rPr>
        <w:t>nction, and left atrial perfor</w:t>
      </w:r>
      <w:r w:rsidRPr="00DB3D22">
        <w:rPr>
          <w:rFonts w:cs="Helvetica"/>
          <w:color w:val="141413"/>
        </w:rPr>
        <w:t>mance in healthy cats and cats with hypertrophic cardiomyopathy (HCM).</w:t>
      </w:r>
    </w:p>
    <w:p w:rsidR="00DB3D22" w:rsidRPr="00DB3D22" w:rsidRDefault="00DB3D22" w:rsidP="00DB3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DB3D22">
        <w:rPr>
          <w:rFonts w:cs="Helvetica"/>
          <w:color w:val="141413"/>
        </w:rPr>
        <w:t>Animals—6 healthy cats and 6 cats with subclinical HCM.</w:t>
      </w:r>
    </w:p>
    <w:p w:rsidR="00DB3D22" w:rsidRPr="00DB3D22" w:rsidRDefault="00DB3D22" w:rsidP="00DB3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DB3D22">
        <w:rPr>
          <w:rFonts w:cs="Helvetica"/>
          <w:color w:val="141413"/>
        </w:rPr>
        <w:t xml:space="preserve">Procedures—Anesthetized cats underwent cardiac catheterization and were studied over a range of hemodynamic states induced by treatment with esmolol (200 to 400 </w:t>
      </w:r>
      <w:r w:rsidRPr="00DB3D22">
        <w:rPr>
          <w:rFonts w:cs="Symbol"/>
          <w:color w:val="141413"/>
        </w:rPr>
        <w:t>μ</w:t>
      </w:r>
      <w:r w:rsidRPr="00DB3D22">
        <w:rPr>
          <w:rFonts w:cs="Helvetica"/>
          <w:color w:val="141413"/>
        </w:rPr>
        <w:t xml:space="preserve">g/kg/min, IV), esmolol and dobutamine (5 </w:t>
      </w:r>
      <w:r w:rsidRPr="00DB3D22">
        <w:rPr>
          <w:rFonts w:cs="Symbol"/>
          <w:color w:val="141413"/>
        </w:rPr>
        <w:t>μ</w:t>
      </w:r>
      <w:r w:rsidRPr="00DB3D22">
        <w:rPr>
          <w:rFonts w:cs="Helvetica"/>
          <w:color w:val="141413"/>
        </w:rPr>
        <w:t>g/kg/min, IV), ivabradine (0.3 mg/kg, IV), and ivabradine and dobutamine. Left ventricular systolic and diastolic function, cardiac output, and left atrial function were studied via catheter-based methods and echocardiography.</w:t>
      </w:r>
    </w:p>
    <w:p w:rsidR="00DB3D22" w:rsidRPr="00DB3D22" w:rsidRDefault="00DB3D22" w:rsidP="00DB3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DB3D22">
        <w:rPr>
          <w:rFonts w:cs="Helvetica"/>
          <w:color w:val="141413"/>
        </w:rPr>
        <w:t>Results—Treatment with ivabradine resulted in a significant reduction of HR, rate-pressure product, and LV contractile function and a significant increase in LV end-diastolic pressure, LV end-diastolic wall stress, and LV relaxation time constant (tau) in cats with HCM. Con- current administration of ivabradine and dobutamine resulted in a significant increase of LV contractility and lusitropy, with blunted chronotropic effects of the catecholamine. Left atrial performance was not significantly altered by ivabradine in cats with HCM. Regression analysis revealed an association between maximum rate of LV pressure rise and tau in cats with HCM.</w:t>
      </w:r>
    </w:p>
    <w:p w:rsidR="00DB3D22" w:rsidRDefault="00DB3D22" w:rsidP="00DB3D22">
      <w:pPr>
        <w:rPr>
          <w:rFonts w:cs="Helvetica"/>
          <w:color w:val="141413"/>
        </w:rPr>
      </w:pPr>
      <w:r w:rsidRPr="00DB3D22">
        <w:rPr>
          <w:rFonts w:cs="Helvetica"/>
          <w:color w:val="141413"/>
        </w:rPr>
        <w:t>Conclusions and Clinical Relevance—Ivabradine had sign</w:t>
      </w:r>
      <w:r>
        <w:rPr>
          <w:rFonts w:cs="Helvetica"/>
          <w:color w:val="141413"/>
        </w:rPr>
        <w:t>ificant effects on several car</w:t>
      </w:r>
      <w:r w:rsidRPr="00DB3D22">
        <w:rPr>
          <w:rFonts w:cs="Helvetica"/>
          <w:color w:val="141413"/>
        </w:rPr>
        <w:t xml:space="preserve">diovascular variables in anesthetized cats with HCM. Studies in awake cats with HCM are needed to clinically validate these findings. </w:t>
      </w:r>
    </w:p>
    <w:p w:rsidR="00DB3D22" w:rsidRDefault="00DB3D22" w:rsidP="00DB3D22">
      <w:pPr>
        <w:rPr>
          <w:rFonts w:cs="Helvetica"/>
          <w:color w:val="141413"/>
        </w:rPr>
      </w:pPr>
      <w:r>
        <w:rPr>
          <w:rFonts w:cs="Helvetica"/>
          <w:color w:val="141413"/>
        </w:rPr>
        <w:br/>
        <w:t>TAKE HOME POINTS:</w:t>
      </w:r>
    </w:p>
    <w:p w:rsidR="00DB3D22" w:rsidRPr="0007317A" w:rsidRDefault="0007317A" w:rsidP="00DB3D22">
      <w:pPr>
        <w:pStyle w:val="ListParagraph"/>
        <w:numPr>
          <w:ilvl w:val="0"/>
          <w:numId w:val="7"/>
        </w:numPr>
        <w:rPr>
          <w:rFonts w:cs="Helvetica"/>
          <w:color w:val="141413"/>
        </w:rPr>
      </w:pPr>
      <w:r w:rsidRPr="0007317A">
        <w:rPr>
          <w:rFonts w:ascii="Times" w:hAnsi="Times" w:cs="Times"/>
          <w:color w:val="141413"/>
        </w:rPr>
        <w:t>H</w:t>
      </w:r>
      <w:r w:rsidR="00DB3D22" w:rsidRPr="0007317A">
        <w:rPr>
          <w:rFonts w:ascii="Times" w:hAnsi="Times" w:cs="Times"/>
          <w:color w:val="141413"/>
        </w:rPr>
        <w:t>ypertrophic cardiomyopathy is the most common heart disease in cats</w:t>
      </w:r>
      <w:r w:rsidRPr="0007317A">
        <w:rPr>
          <w:rFonts w:ascii="Times" w:hAnsi="Times" w:cs="Times"/>
          <w:color w:val="141413"/>
        </w:rPr>
        <w:t xml:space="preserve"> and is characterized by LV hy</w:t>
      </w:r>
      <w:r w:rsidR="00DB3D22" w:rsidRPr="0007317A">
        <w:rPr>
          <w:rFonts w:ascii="Times" w:hAnsi="Times" w:cs="Times"/>
          <w:color w:val="141413"/>
        </w:rPr>
        <w:t xml:space="preserve">pertrophy, myofiber disarray, myocardial fibrosis, intra- mural coronary arterial </w:t>
      </w:r>
      <w:r w:rsidRPr="0007317A">
        <w:rPr>
          <w:rFonts w:ascii="Times" w:hAnsi="Times" w:cs="Times"/>
          <w:color w:val="141413"/>
        </w:rPr>
        <w:t>narrowing, and myocardial isch</w:t>
      </w:r>
      <w:r w:rsidR="00DB3D22" w:rsidRPr="0007317A">
        <w:rPr>
          <w:rFonts w:ascii="Times" w:hAnsi="Times" w:cs="Times"/>
          <w:color w:val="141413"/>
        </w:rPr>
        <w:t>emia, which are all factors that compromise diastolic LV function</w:t>
      </w:r>
      <w:r w:rsidRPr="0007317A">
        <w:rPr>
          <w:rFonts w:ascii="Times" w:hAnsi="Times" w:cs="Times"/>
          <w:color w:val="141413"/>
        </w:rPr>
        <w:t xml:space="preserve">.  </w:t>
      </w:r>
      <w:r w:rsidR="00DB3D22" w:rsidRPr="0007317A">
        <w:rPr>
          <w:rFonts w:ascii="Times" w:hAnsi="Times" w:cs="Times"/>
          <w:color w:val="141413"/>
        </w:rPr>
        <w:t>Treatment o</w:t>
      </w:r>
      <w:r w:rsidRPr="0007317A">
        <w:rPr>
          <w:rFonts w:ascii="Times" w:hAnsi="Times" w:cs="Times"/>
          <w:color w:val="141413"/>
        </w:rPr>
        <w:t>f cats with subclinical HCM re</w:t>
      </w:r>
      <w:r w:rsidR="00DB3D22" w:rsidRPr="0007317A">
        <w:rPr>
          <w:rFonts w:ascii="Times" w:hAnsi="Times" w:cs="Times"/>
          <w:color w:val="141413"/>
        </w:rPr>
        <w:t>mains controversial but has been directed at relie</w:t>
      </w:r>
      <w:r w:rsidRPr="0007317A">
        <w:rPr>
          <w:rFonts w:ascii="Times" w:hAnsi="Times" w:cs="Times"/>
          <w:color w:val="141413"/>
        </w:rPr>
        <w:t>ving ob</w:t>
      </w:r>
      <w:r w:rsidR="00DB3D22" w:rsidRPr="0007317A">
        <w:rPr>
          <w:rFonts w:ascii="Times" w:hAnsi="Times" w:cs="Times"/>
          <w:color w:val="141413"/>
        </w:rPr>
        <w:t xml:space="preserve">struction of the LV outflow tract, improving LV diastolic function, and preventing arterial thromboembolism and sudden cardiac death. </w:t>
      </w:r>
      <w:r w:rsidRPr="0007317A">
        <w:rPr>
          <w:rFonts w:ascii="Symbol" w:hAnsi="Symbol" w:cs="Symbol"/>
          <w:color w:val="141413"/>
        </w:rPr>
        <w:t></w:t>
      </w:r>
      <w:r w:rsidRPr="0007317A">
        <w:rPr>
          <w:rFonts w:ascii="Symbol" w:hAnsi="Symbol" w:cs="Symbol"/>
          <w:color w:val="141413"/>
        </w:rPr>
        <w:t></w:t>
      </w:r>
      <w:r w:rsidR="00DB3D22" w:rsidRPr="0007317A">
        <w:rPr>
          <w:rFonts w:ascii="Times" w:hAnsi="Times" w:cs="Times"/>
          <w:color w:val="141413"/>
        </w:rPr>
        <w:t>Adrenoreceptor antagonists</w:t>
      </w:r>
      <w:r w:rsidRPr="0007317A">
        <w:rPr>
          <w:rFonts w:ascii="Times" w:hAnsi="Times" w:cs="Times"/>
          <w:color w:val="141413"/>
        </w:rPr>
        <w:t xml:space="preserve"> have been the mainstay of therapy</w:t>
      </w:r>
      <w:r>
        <w:rPr>
          <w:rFonts w:ascii="Times" w:hAnsi="Times" w:cs="Times"/>
          <w:color w:val="141413"/>
        </w:rPr>
        <w:t xml:space="preserve"> in subclinical HCM</w:t>
      </w:r>
      <w:r w:rsidRPr="0007317A">
        <w:rPr>
          <w:rFonts w:ascii="Times" w:hAnsi="Times" w:cs="Times"/>
          <w:color w:val="141413"/>
        </w:rPr>
        <w:t>.</w:t>
      </w:r>
    </w:p>
    <w:p w:rsidR="0007317A" w:rsidRPr="004B6A43" w:rsidRDefault="0007317A" w:rsidP="0007317A">
      <w:pPr>
        <w:pStyle w:val="ListParagraph"/>
        <w:numPr>
          <w:ilvl w:val="0"/>
          <w:numId w:val="7"/>
        </w:numPr>
        <w:rPr>
          <w:rFonts w:cs="Helvetica"/>
          <w:color w:val="141413"/>
        </w:rPr>
      </w:pPr>
      <w:r w:rsidRPr="004B6A43">
        <w:rPr>
          <w:rFonts w:ascii="Times" w:hAnsi="Times" w:cs="Times"/>
          <w:color w:val="141413"/>
        </w:rPr>
        <w:t>Several prognostic indicators have been proposed in cats with HCM, including LV diastolic function, LA size, and HR, which is a major determinant of myocardial oxygen consumption. Tachycardia is poorly tolerated in humans with HCM. Consequences of tachycardia can include reduced LV filling, decreased myocardial perfusion, and increased myocardial oxygen demand with worsening of preexisting diastolic dysfunction and myocardial ischemia.  Evidence in human patients with HCM suggests that ischemia is a major contributor to clinical signs, disease progression, and fatal outcome.</w:t>
      </w:r>
    </w:p>
    <w:p w:rsidR="0007317A" w:rsidRPr="004B6A43" w:rsidRDefault="0007317A" w:rsidP="0007317A">
      <w:pPr>
        <w:pStyle w:val="ListParagraph"/>
        <w:numPr>
          <w:ilvl w:val="0"/>
          <w:numId w:val="7"/>
        </w:numPr>
        <w:rPr>
          <w:rFonts w:cs="Helvetica"/>
          <w:color w:val="141413"/>
        </w:rPr>
      </w:pPr>
      <w:r w:rsidRPr="004B6A43">
        <w:rPr>
          <w:rFonts w:ascii="Times" w:hAnsi="Times" w:cs="Times"/>
          <w:color w:val="141413"/>
        </w:rPr>
        <w:t>Recent advances related to the molecular basis of cardiac pacemaker function and the physiology of associated ion channels have led to novel approaches in the selective control of HR. One such cellular target is the pacemaker funny current (I ) of the sinoatrial node. To date, several If inhibitors have been studied but only ivabradine has been approved for clinical use in human patients with ischemic heart disease</w:t>
      </w:r>
    </w:p>
    <w:p w:rsidR="0007317A" w:rsidRPr="004B6A43" w:rsidRDefault="0007317A" w:rsidP="0007317A">
      <w:pPr>
        <w:pStyle w:val="ListParagraph"/>
        <w:numPr>
          <w:ilvl w:val="0"/>
          <w:numId w:val="7"/>
        </w:numPr>
        <w:rPr>
          <w:rFonts w:cs="Helvetica"/>
          <w:color w:val="141413"/>
        </w:rPr>
      </w:pPr>
      <w:r w:rsidRPr="004B6A43">
        <w:rPr>
          <w:rFonts w:ascii="Times" w:hAnsi="Times" w:cs="Times"/>
          <w:color w:val="141413"/>
        </w:rPr>
        <w:t>Hypothesized that ivabradine would have minimal effects on LV and LA function but would significantly blunt positive chronotropic responses induced by catecholamine administration.</w:t>
      </w:r>
    </w:p>
    <w:p w:rsidR="0007317A" w:rsidRPr="004B6A43" w:rsidRDefault="0007317A" w:rsidP="0007317A">
      <w:pPr>
        <w:pStyle w:val="ListParagraph"/>
        <w:numPr>
          <w:ilvl w:val="0"/>
          <w:numId w:val="7"/>
        </w:numPr>
        <w:rPr>
          <w:rFonts w:cs="Helvetica"/>
          <w:color w:val="141413"/>
        </w:rPr>
      </w:pPr>
      <w:r w:rsidRPr="004B6A43">
        <w:rPr>
          <w:rFonts w:ascii="Times" w:hAnsi="Times" w:cs="Times"/>
          <w:color w:val="141413"/>
        </w:rPr>
        <w:t>6 healthy cats and 6 cats with idiopathic left ventricular hypertrophy</w:t>
      </w:r>
    </w:p>
    <w:p w:rsidR="0007317A" w:rsidRPr="004B6A43" w:rsidRDefault="0007317A" w:rsidP="0007317A">
      <w:pPr>
        <w:pStyle w:val="ListParagraph"/>
        <w:numPr>
          <w:ilvl w:val="0"/>
          <w:numId w:val="7"/>
        </w:numPr>
        <w:rPr>
          <w:rFonts w:cs="Helvetica"/>
          <w:color w:val="141413"/>
        </w:rPr>
      </w:pPr>
      <w:r w:rsidRPr="004B6A43">
        <w:rPr>
          <w:rFonts w:ascii="Times" w:hAnsi="Times" w:cs="Times"/>
          <w:color w:val="141413"/>
        </w:rPr>
        <w:t>Premed- butorphanol and acepromazine; induction- propofol; maintenance- iso, 100% oxygen</w:t>
      </w:r>
    </w:p>
    <w:p w:rsidR="0007317A" w:rsidRPr="004B6A43" w:rsidRDefault="0007317A" w:rsidP="0007317A">
      <w:pPr>
        <w:pStyle w:val="ListParagraph"/>
        <w:numPr>
          <w:ilvl w:val="0"/>
          <w:numId w:val="7"/>
        </w:numPr>
        <w:rPr>
          <w:rFonts w:cs="Helvetica"/>
          <w:color w:val="141413"/>
        </w:rPr>
      </w:pPr>
      <w:r w:rsidRPr="004B6A43">
        <w:rPr>
          <w:rFonts w:ascii="Times" w:hAnsi="Times" w:cs="Times"/>
          <w:color w:val="141413"/>
        </w:rPr>
        <w:t>A 3F, high-fidelity, dual-micromanometer– tipped catheterj,k was advanced into the LV through the right carotid artery under fluoroscopic guidance and positioned to simultaneously record LV and aortic pres- sures. Digital sampling rate for the micromanometer catheter was 500 samples/s.</w:t>
      </w:r>
    </w:p>
    <w:p w:rsidR="0007317A" w:rsidRPr="004B6A43" w:rsidRDefault="0007317A" w:rsidP="0007317A">
      <w:pPr>
        <w:pStyle w:val="ListParagraph"/>
        <w:numPr>
          <w:ilvl w:val="0"/>
          <w:numId w:val="7"/>
        </w:numPr>
        <w:rPr>
          <w:rFonts w:cs="Helvetica"/>
          <w:color w:val="141413"/>
        </w:rPr>
      </w:pPr>
      <w:r w:rsidRPr="004B6A43">
        <w:rPr>
          <w:rFonts w:ascii="Times" w:hAnsi="Times" w:cs="Times"/>
          <w:color w:val="141413"/>
        </w:rPr>
        <w:t xml:space="preserve">A 5F, flow-directed, fluid-filled, thermistor-tipped catheterl connected to a pressure transducer and a CO computerm </w:t>
      </w:r>
      <w:r w:rsidR="004B6A43" w:rsidRPr="004B6A43">
        <w:rPr>
          <w:rFonts w:ascii="Times" w:hAnsi="Times" w:cs="Times"/>
          <w:color w:val="141413"/>
        </w:rPr>
        <w:t>was posi</w:t>
      </w:r>
      <w:r w:rsidRPr="004B6A43">
        <w:rPr>
          <w:rFonts w:ascii="Times" w:hAnsi="Times" w:cs="Times"/>
          <w:color w:val="141413"/>
        </w:rPr>
        <w:t>tioned in the pulmonary artery via the right external jugular vein. The proximal catheter port was positioned in the right atrium or cranial vena cava, the thermistor in the main pulmonary artery, and the distal tip in the main or proximal left or right pulmonary artery branch. This catheter was used to measure pulmonary artery pressures and CO by thermodilution. For measurement of CO, a 1-mL bolus of saline (0.9% NaCl) solutionn was rapidly injected into the right atrium through the proximal port of the pulmonary artery catheter.</w:t>
      </w:r>
    </w:p>
    <w:p w:rsidR="0007317A" w:rsidRPr="004B6A43" w:rsidRDefault="0007317A" w:rsidP="0007317A">
      <w:pPr>
        <w:pStyle w:val="ListParagraph"/>
        <w:numPr>
          <w:ilvl w:val="0"/>
          <w:numId w:val="7"/>
        </w:numPr>
        <w:rPr>
          <w:rFonts w:cs="Helvetica"/>
          <w:color w:val="141413"/>
        </w:rPr>
      </w:pPr>
      <w:r w:rsidRPr="004B6A43">
        <w:rPr>
          <w:rFonts w:ascii="Times" w:hAnsi="Times" w:cs="Times"/>
          <w:color w:val="141413"/>
        </w:rPr>
        <w:t xml:space="preserve">Body temperature, ECG, HR, LV pressures, aortic pressures, and pulmonary artery pressures were monitored continuously and recorded simultaneously during each treatment period. Cardiac </w:t>
      </w:r>
      <w:r w:rsidR="004B6A43" w:rsidRPr="004B6A43">
        <w:rPr>
          <w:rFonts w:ascii="Times" w:hAnsi="Times" w:cs="Times"/>
          <w:color w:val="141413"/>
        </w:rPr>
        <w:t>output was mea</w:t>
      </w:r>
      <w:r w:rsidRPr="004B6A43">
        <w:rPr>
          <w:rFonts w:ascii="Times" w:hAnsi="Times" w:cs="Times"/>
          <w:color w:val="141413"/>
        </w:rPr>
        <w:t>sured at end-expirati</w:t>
      </w:r>
      <w:r w:rsidR="004B6A43" w:rsidRPr="004B6A43">
        <w:rPr>
          <w:rFonts w:ascii="Times" w:hAnsi="Times" w:cs="Times"/>
          <w:color w:val="141413"/>
        </w:rPr>
        <w:t>on during each intervention si</w:t>
      </w:r>
      <w:r w:rsidRPr="004B6A43">
        <w:rPr>
          <w:rFonts w:ascii="Times" w:hAnsi="Times" w:cs="Times"/>
          <w:color w:val="141413"/>
        </w:rPr>
        <w:t>multaneously with echocardiographic recordings.</w:t>
      </w:r>
    </w:p>
    <w:p w:rsidR="00765351" w:rsidRPr="004B6A43" w:rsidRDefault="00765351" w:rsidP="0007317A">
      <w:pPr>
        <w:pStyle w:val="ListParagraph"/>
        <w:numPr>
          <w:ilvl w:val="0"/>
          <w:numId w:val="7"/>
        </w:numPr>
        <w:rPr>
          <w:rFonts w:cs="Helvetica"/>
          <w:color w:val="141413"/>
        </w:rPr>
      </w:pPr>
      <w:r w:rsidRPr="004B6A43">
        <w:rPr>
          <w:rFonts w:ascii="Times" w:hAnsi="Times" w:cs="Times"/>
          <w:color w:val="141413"/>
        </w:rPr>
        <w:t>Echo</w:t>
      </w:r>
    </w:p>
    <w:p w:rsidR="00765351" w:rsidRPr="004B6A43" w:rsidRDefault="00765351" w:rsidP="0007317A">
      <w:pPr>
        <w:pStyle w:val="ListParagraph"/>
        <w:numPr>
          <w:ilvl w:val="0"/>
          <w:numId w:val="7"/>
        </w:numPr>
        <w:rPr>
          <w:rFonts w:cs="Helvetica"/>
          <w:color w:val="141413"/>
        </w:rPr>
      </w:pPr>
      <w:r w:rsidRPr="004B6A43">
        <w:rPr>
          <w:rFonts w:ascii="Times" w:hAnsi="Times" w:cs="Times"/>
          <w:color w:val="141413"/>
        </w:rPr>
        <w:t>After baseline measurements were obtained, 4 treatments (esmolol,q Esm+Dob,r ivabradine,s and Iva+Dob) were studied. A 10- to 20-minute period was allowed for hemodynamic stabilization between each study period. Once HR was stable, hemodynamic variables and echocardiographic data were acquired simultaneously, with data collection taking approximately 15 minutes for each treatment period.</w:t>
      </w:r>
    </w:p>
    <w:p w:rsidR="00765351" w:rsidRPr="004B6A43" w:rsidRDefault="00765351" w:rsidP="0007317A">
      <w:pPr>
        <w:pStyle w:val="ListParagraph"/>
        <w:numPr>
          <w:ilvl w:val="0"/>
          <w:numId w:val="7"/>
        </w:numPr>
        <w:rPr>
          <w:rFonts w:cs="Helvetica"/>
          <w:color w:val="141413"/>
        </w:rPr>
      </w:pPr>
      <w:r w:rsidRPr="004B6A43">
        <w:rPr>
          <w:rFonts w:ascii="Times" w:hAnsi="Times" w:cs="Times"/>
          <w:color w:val="141413"/>
        </w:rPr>
        <w:t xml:space="preserve">Diagnosis (HCM or control) did not have a fixed effect on HR (P = 0.61), whereas treatment (P </w:t>
      </w:r>
      <w:r w:rsidRPr="004B6A43">
        <w:rPr>
          <w:rFonts w:ascii="Helvetica" w:hAnsi="Helvetica" w:cs="Helvetica"/>
          <w:color w:val="141413"/>
        </w:rPr>
        <w:t xml:space="preserve">&lt; </w:t>
      </w:r>
      <w:r w:rsidRPr="004B6A43">
        <w:rPr>
          <w:rFonts w:ascii="Times" w:hAnsi="Times" w:cs="Times"/>
          <w:color w:val="141413"/>
        </w:rPr>
        <w:t xml:space="preserve">0.001) and baseline values (P </w:t>
      </w:r>
      <w:r w:rsidRPr="004B6A43">
        <w:rPr>
          <w:rFonts w:ascii="Helvetica" w:hAnsi="Helvetica" w:cs="Helvetica"/>
          <w:color w:val="141413"/>
        </w:rPr>
        <w:t xml:space="preserve">&lt; </w:t>
      </w:r>
      <w:r w:rsidRPr="004B6A43">
        <w:rPr>
          <w:rFonts w:ascii="Times" w:hAnsi="Times" w:cs="Times"/>
          <w:color w:val="141413"/>
        </w:rPr>
        <w:t xml:space="preserve">0.001) did. Compared with baseline, HR was significantly (P </w:t>
      </w:r>
      <w:r w:rsidRPr="004B6A43">
        <w:rPr>
          <w:rFonts w:ascii="Helvetica" w:hAnsi="Helvetica" w:cs="Helvetica"/>
          <w:color w:val="141413"/>
        </w:rPr>
        <w:t xml:space="preserve">&lt; </w:t>
      </w:r>
      <w:r w:rsidR="004B6A43" w:rsidRPr="004B6A43">
        <w:rPr>
          <w:rFonts w:ascii="Times" w:hAnsi="Times" w:cs="Times"/>
          <w:color w:val="141413"/>
        </w:rPr>
        <w:t>0.001) re</w:t>
      </w:r>
      <w:r w:rsidRPr="004B6A43">
        <w:rPr>
          <w:rFonts w:ascii="Times" w:hAnsi="Times" w:cs="Times"/>
          <w:color w:val="141413"/>
        </w:rPr>
        <w:t>duced by ivabradine in cats with HCM and control cats, whereas the negative chronotropic effect of esmolol did not reach significance (HCM, P = 0.44; control, P = 0.59).</w:t>
      </w:r>
    </w:p>
    <w:p w:rsidR="00765351" w:rsidRPr="004B6A43" w:rsidRDefault="004B6A43" w:rsidP="0007317A">
      <w:pPr>
        <w:pStyle w:val="ListParagraph"/>
        <w:numPr>
          <w:ilvl w:val="0"/>
          <w:numId w:val="7"/>
        </w:numPr>
        <w:rPr>
          <w:rFonts w:cs="Helvetica"/>
          <w:color w:val="141413"/>
        </w:rPr>
      </w:pPr>
      <w:r w:rsidRPr="004B6A43">
        <w:rPr>
          <w:rFonts w:ascii="Times" w:hAnsi="Times" w:cs="Times"/>
          <w:color w:val="141413"/>
        </w:rPr>
        <w:t>T</w:t>
      </w:r>
      <w:r w:rsidR="00765351" w:rsidRPr="004B6A43">
        <w:rPr>
          <w:rFonts w:ascii="Times" w:hAnsi="Times" w:cs="Times"/>
          <w:color w:val="141413"/>
        </w:rPr>
        <w:t xml:space="preserve">he mean and maximum HR observed during Esm+Dob (164 and 204 beats/min) were significantly (P </w:t>
      </w:r>
      <w:r w:rsidR="00765351" w:rsidRPr="004B6A43">
        <w:rPr>
          <w:rFonts w:ascii="Helvetica" w:hAnsi="Helvetica" w:cs="Helvetica"/>
          <w:color w:val="141413"/>
        </w:rPr>
        <w:t xml:space="preserve">&lt; </w:t>
      </w:r>
      <w:r w:rsidR="00765351" w:rsidRPr="004B6A43">
        <w:rPr>
          <w:rFonts w:ascii="Times" w:hAnsi="Times" w:cs="Times"/>
          <w:color w:val="141413"/>
        </w:rPr>
        <w:t>0.001) higher, compared with the mean and maximum HR obser</w:t>
      </w:r>
      <w:r w:rsidRPr="004B6A43">
        <w:rPr>
          <w:rFonts w:ascii="Times" w:hAnsi="Times" w:cs="Times"/>
          <w:color w:val="141413"/>
        </w:rPr>
        <w:t xml:space="preserve">ved during Iva+Dob (122 and 140 </w:t>
      </w:r>
      <w:r w:rsidR="00765351" w:rsidRPr="004B6A43">
        <w:rPr>
          <w:rFonts w:ascii="Times" w:hAnsi="Times" w:cs="Times"/>
          <w:color w:val="141413"/>
        </w:rPr>
        <w:t>beats/mi</w:t>
      </w:r>
      <w:r w:rsidRPr="004B6A43">
        <w:rPr>
          <w:rFonts w:ascii="Times" w:hAnsi="Times" w:cs="Times"/>
          <w:color w:val="141413"/>
        </w:rPr>
        <w:t>n). Similar ob</w:t>
      </w:r>
      <w:r w:rsidR="00765351" w:rsidRPr="004B6A43">
        <w:rPr>
          <w:rFonts w:ascii="Times" w:hAnsi="Times" w:cs="Times"/>
          <w:color w:val="141413"/>
        </w:rPr>
        <w:t>servations were made in</w:t>
      </w:r>
      <w:r w:rsidRPr="004B6A43">
        <w:rPr>
          <w:rFonts w:ascii="Times" w:hAnsi="Times" w:cs="Times"/>
          <w:color w:val="141413"/>
        </w:rPr>
        <w:t xml:space="preserve"> control cats, although dobuta</w:t>
      </w:r>
      <w:r w:rsidR="00765351" w:rsidRPr="004B6A43">
        <w:rPr>
          <w:rFonts w:ascii="Times" w:hAnsi="Times" w:cs="Times"/>
          <w:color w:val="141413"/>
        </w:rPr>
        <w:t>mine did not significantly increase HR during Iva+Dob in this group.</w:t>
      </w:r>
    </w:p>
    <w:p w:rsidR="00765351" w:rsidRPr="004B6A43" w:rsidRDefault="004B6A43" w:rsidP="0007317A">
      <w:pPr>
        <w:pStyle w:val="ListParagraph"/>
        <w:numPr>
          <w:ilvl w:val="0"/>
          <w:numId w:val="7"/>
        </w:numPr>
        <w:rPr>
          <w:rFonts w:cs="Helvetica"/>
          <w:color w:val="141413"/>
        </w:rPr>
      </w:pPr>
      <w:r w:rsidRPr="004B6A43">
        <w:rPr>
          <w:rFonts w:ascii="Times" w:hAnsi="Times" w:cs="Times"/>
          <w:color w:val="141413"/>
        </w:rPr>
        <w:t>In contrast to es</w:t>
      </w:r>
      <w:r w:rsidR="00765351" w:rsidRPr="004B6A43">
        <w:rPr>
          <w:rFonts w:ascii="Times" w:hAnsi="Times" w:cs="Times"/>
          <w:color w:val="141413"/>
        </w:rPr>
        <w:t xml:space="preserve">molol (P = 0.40), ivabradine significantly (P </w:t>
      </w:r>
      <w:r w:rsidR="00765351" w:rsidRPr="004B6A43">
        <w:rPr>
          <w:rFonts w:ascii="Helvetica" w:hAnsi="Helvetica" w:cs="Helvetica"/>
          <w:color w:val="141413"/>
        </w:rPr>
        <w:t xml:space="preserve">&lt; </w:t>
      </w:r>
      <w:r w:rsidR="00765351" w:rsidRPr="004B6A43">
        <w:rPr>
          <w:rFonts w:ascii="Times" w:hAnsi="Times" w:cs="Times"/>
          <w:color w:val="141413"/>
        </w:rPr>
        <w:t>0.001) reduced the rate-pressure product in cats with HCM.</w:t>
      </w:r>
    </w:p>
    <w:p w:rsidR="000F128C" w:rsidRPr="004B6A43" w:rsidRDefault="000F128C" w:rsidP="0007317A">
      <w:pPr>
        <w:pStyle w:val="ListParagraph"/>
        <w:numPr>
          <w:ilvl w:val="0"/>
          <w:numId w:val="7"/>
        </w:numPr>
        <w:rPr>
          <w:rFonts w:cs="Helvetica"/>
          <w:color w:val="141413"/>
        </w:rPr>
      </w:pPr>
      <w:r w:rsidRPr="004B6A43">
        <w:rPr>
          <w:rFonts w:ascii="Times" w:hAnsi="Times" w:cs="Times"/>
          <w:color w:val="141413"/>
        </w:rPr>
        <w:t xml:space="preserve">Diagnosis did not have a fixed effect on max rate of left ventricular pressure rise.  Both ivabradine and esmolol decreased the max rate of left ventricular pressure rise in cats with HCM, whereas in controls only esmolol but not ivabradine did. </w:t>
      </w:r>
    </w:p>
    <w:p w:rsidR="000F128C" w:rsidRPr="004B6A43" w:rsidRDefault="000F128C" w:rsidP="0007317A">
      <w:pPr>
        <w:pStyle w:val="ListParagraph"/>
        <w:numPr>
          <w:ilvl w:val="0"/>
          <w:numId w:val="7"/>
        </w:numPr>
        <w:rPr>
          <w:rFonts w:cs="Helvetica"/>
          <w:color w:val="141413"/>
        </w:rPr>
      </w:pPr>
      <w:r w:rsidRPr="004B6A43">
        <w:rPr>
          <w:rFonts w:ascii="Times" w:hAnsi="Times" w:cs="Times"/>
          <w:color w:val="141413"/>
        </w:rPr>
        <w:t>Overall cats with HCM had lower CI, compared with controls.  Stroke volume was not different between treatment and disease groups.  Stroke volume increased after dobutamine administration.</w:t>
      </w:r>
    </w:p>
    <w:p w:rsidR="000F128C" w:rsidRPr="004B6A43" w:rsidRDefault="000F128C" w:rsidP="0007317A">
      <w:pPr>
        <w:pStyle w:val="ListParagraph"/>
        <w:numPr>
          <w:ilvl w:val="0"/>
          <w:numId w:val="7"/>
        </w:numPr>
        <w:rPr>
          <w:rFonts w:cs="Helvetica"/>
          <w:color w:val="141413"/>
        </w:rPr>
      </w:pPr>
      <w:r w:rsidRPr="004B6A43">
        <w:rPr>
          <w:rFonts w:ascii="Times" w:hAnsi="Times" w:cs="Times"/>
          <w:color w:val="141413"/>
        </w:rPr>
        <w:t>Cats with HCM had a larger increase of global systolic circumferential strain rate at Iva+Dob, compared with Esm+Dob, than did control cats</w:t>
      </w:r>
    </w:p>
    <w:p w:rsidR="000F128C" w:rsidRPr="004B6A43" w:rsidRDefault="000F128C" w:rsidP="00415D75">
      <w:pPr>
        <w:pStyle w:val="ListParagraph"/>
        <w:numPr>
          <w:ilvl w:val="0"/>
          <w:numId w:val="7"/>
        </w:numPr>
        <w:rPr>
          <w:rFonts w:cs="Helvetica"/>
          <w:color w:val="141413"/>
        </w:rPr>
      </w:pPr>
      <w:r w:rsidRPr="004B6A43">
        <w:rPr>
          <w:rFonts w:ascii="Times" w:hAnsi="Times" w:cs="Times"/>
          <w:color w:val="141413"/>
        </w:rPr>
        <w:t xml:space="preserve">LV relaxation time constant (tau): </w:t>
      </w:r>
      <w:r w:rsidR="0058515F" w:rsidRPr="004B6A43">
        <w:rPr>
          <w:rFonts w:ascii="Times" w:hAnsi="Times" w:cs="Times"/>
          <w:color w:val="141413"/>
        </w:rPr>
        <w:t xml:space="preserve">Diagnosis (HCM or control) did not have a fixed effect on tau (P = 0.183), whereas treatment (P </w:t>
      </w:r>
      <w:r w:rsidR="0058515F" w:rsidRPr="004B6A43">
        <w:rPr>
          <w:rFonts w:ascii="Helvetica" w:hAnsi="Helvetica" w:cs="Helvetica"/>
          <w:color w:val="141413"/>
        </w:rPr>
        <w:t xml:space="preserve">&lt; </w:t>
      </w:r>
      <w:r w:rsidR="0058515F" w:rsidRPr="004B6A43">
        <w:rPr>
          <w:rFonts w:ascii="Times" w:hAnsi="Times" w:cs="Times"/>
          <w:color w:val="141413"/>
        </w:rPr>
        <w:t xml:space="preserve">0.001) and baseline values (P </w:t>
      </w:r>
      <w:r w:rsidR="0058515F" w:rsidRPr="004B6A43">
        <w:rPr>
          <w:rFonts w:ascii="Helvetica" w:hAnsi="Helvetica" w:cs="Helvetica"/>
          <w:color w:val="141413"/>
        </w:rPr>
        <w:t xml:space="preserve">&lt; </w:t>
      </w:r>
      <w:r w:rsidR="0058515F" w:rsidRPr="004B6A43">
        <w:rPr>
          <w:rFonts w:ascii="Times" w:hAnsi="Times" w:cs="Times"/>
          <w:color w:val="141413"/>
        </w:rPr>
        <w:t>0.001) did. Tau was slightly prolonged (mea</w:t>
      </w:r>
      <w:r w:rsidR="004B6A43" w:rsidRPr="004B6A43">
        <w:rPr>
          <w:rFonts w:ascii="Times" w:hAnsi="Times" w:cs="Times"/>
          <w:color w:val="141413"/>
        </w:rPr>
        <w:t>n, 4 milliseconds) after admin</w:t>
      </w:r>
      <w:r w:rsidR="0058515F" w:rsidRPr="004B6A43">
        <w:rPr>
          <w:rFonts w:ascii="Times" w:hAnsi="Times" w:cs="Times"/>
          <w:color w:val="141413"/>
        </w:rPr>
        <w:t xml:space="preserve">istration of ivabradine in cats with HCM (HCM, P </w:t>
      </w:r>
      <w:r w:rsidR="0058515F" w:rsidRPr="004B6A43">
        <w:rPr>
          <w:rFonts w:ascii="Helvetica" w:hAnsi="Helvetica" w:cs="Helvetica"/>
          <w:color w:val="141413"/>
        </w:rPr>
        <w:t xml:space="preserve">&lt; </w:t>
      </w:r>
      <w:r w:rsidR="0058515F" w:rsidRPr="004B6A43">
        <w:rPr>
          <w:rFonts w:ascii="Times" w:hAnsi="Times" w:cs="Times"/>
          <w:color w:val="141413"/>
        </w:rPr>
        <w:t>0.009; control, P = 0.6</w:t>
      </w:r>
      <w:r w:rsidR="004B6A43" w:rsidRPr="004B6A43">
        <w:rPr>
          <w:rFonts w:ascii="Times" w:hAnsi="Times" w:cs="Times"/>
          <w:color w:val="141413"/>
        </w:rPr>
        <w:t>1) in contrast to tau after ad</w:t>
      </w:r>
      <w:r w:rsidR="0058515F" w:rsidRPr="004B6A43">
        <w:rPr>
          <w:rFonts w:ascii="Times" w:hAnsi="Times" w:cs="Times"/>
          <w:color w:val="141413"/>
        </w:rPr>
        <w:t xml:space="preserve">ministration of esmolol (P </w:t>
      </w:r>
      <w:r w:rsidR="0058515F" w:rsidRPr="004B6A43">
        <w:rPr>
          <w:rFonts w:ascii="Helvetica" w:hAnsi="Helvetica" w:cs="Helvetica"/>
          <w:color w:val="141413"/>
        </w:rPr>
        <w:t xml:space="preserve">&gt; </w:t>
      </w:r>
      <w:r w:rsidR="004B6A43" w:rsidRPr="004B6A43">
        <w:rPr>
          <w:rFonts w:ascii="Times" w:hAnsi="Times" w:cs="Times"/>
          <w:color w:val="141413"/>
        </w:rPr>
        <w:t>0.05; Table 1). Dobuta</w:t>
      </w:r>
      <w:r w:rsidR="0058515F" w:rsidRPr="004B6A43">
        <w:rPr>
          <w:rFonts w:ascii="Times" w:hAnsi="Times" w:cs="Times"/>
          <w:color w:val="141413"/>
        </w:rPr>
        <w:t>mine administered simu</w:t>
      </w:r>
      <w:r w:rsidR="004B6A43" w:rsidRPr="004B6A43">
        <w:rPr>
          <w:rFonts w:ascii="Times" w:hAnsi="Times" w:cs="Times"/>
          <w:color w:val="141413"/>
        </w:rPr>
        <w:t>ltaneously with esmolol or iva</w:t>
      </w:r>
      <w:r w:rsidR="0058515F" w:rsidRPr="004B6A43">
        <w:rPr>
          <w:rFonts w:ascii="Times" w:hAnsi="Times" w:cs="Times"/>
          <w:color w:val="141413"/>
        </w:rPr>
        <w:t>bradine decreased tau in both groups. However, there was a significant (P = 0.019) difference in</w:t>
      </w:r>
      <w:r w:rsidR="004B6A43" w:rsidRPr="004B6A43">
        <w:rPr>
          <w:rFonts w:ascii="Times" w:hAnsi="Times" w:cs="Times"/>
          <w:color w:val="141413"/>
        </w:rPr>
        <w:t xml:space="preserve"> the magni</w:t>
      </w:r>
      <w:r w:rsidR="0058515F" w:rsidRPr="004B6A43">
        <w:rPr>
          <w:rFonts w:ascii="Times" w:hAnsi="Times" w:cs="Times"/>
          <w:color w:val="141413"/>
        </w:rPr>
        <w:t>tude of mean decrease of tau with Iva+Dob, compared with Esm</w:t>
      </w:r>
      <w:r w:rsidR="004B6A43" w:rsidRPr="004B6A43">
        <w:rPr>
          <w:rFonts w:ascii="Times" w:hAnsi="Times" w:cs="Times"/>
          <w:color w:val="141413"/>
        </w:rPr>
        <w:t>+Dob, in cats with HCM</w:t>
      </w:r>
      <w:r w:rsidR="0058515F" w:rsidRPr="004B6A43">
        <w:rPr>
          <w:rFonts w:ascii="Times" w:hAnsi="Times" w:cs="Times"/>
          <w:color w:val="141413"/>
        </w:rPr>
        <w:t>. Moreover, there was a significant (P = 0.029) difference in the mean reduction of tau with Iva+Dob between cats with HCM (mean, –12 milliseconds) and controls (mean, –6 milliseconds).</w:t>
      </w:r>
    </w:p>
    <w:p w:rsidR="00415D75" w:rsidRPr="004B6A43" w:rsidRDefault="00415D75" w:rsidP="00415D75">
      <w:pPr>
        <w:rPr>
          <w:rFonts w:cs="Helvetica"/>
          <w:color w:val="141413"/>
        </w:rPr>
      </w:pPr>
    </w:p>
    <w:p w:rsidR="00415D75" w:rsidRPr="004B6A43" w:rsidRDefault="00415D75" w:rsidP="00415D75">
      <w:pPr>
        <w:pStyle w:val="ListParagraph"/>
        <w:numPr>
          <w:ilvl w:val="0"/>
          <w:numId w:val="7"/>
        </w:numPr>
        <w:rPr>
          <w:rFonts w:cs="Helvetica"/>
          <w:color w:val="141413"/>
        </w:rPr>
      </w:pPr>
      <w:r w:rsidRPr="004B6A43">
        <w:rPr>
          <w:rFonts w:ascii="Times" w:hAnsi="Times" w:cs="Times"/>
          <w:color w:val="141413"/>
        </w:rPr>
        <w:t>The mean reduction of HR in cats with HCM observed after ivabradi</w:t>
      </w:r>
      <w:r w:rsidR="004B6A43" w:rsidRPr="004B6A43">
        <w:rPr>
          <w:rFonts w:ascii="Times" w:hAnsi="Times" w:cs="Times"/>
          <w:color w:val="141413"/>
        </w:rPr>
        <w:t>ne administration was 33% rela</w:t>
      </w:r>
      <w:r w:rsidRPr="004B6A43">
        <w:rPr>
          <w:rFonts w:ascii="Times" w:hAnsi="Times" w:cs="Times"/>
          <w:color w:val="141413"/>
        </w:rPr>
        <w:t>tive to baseline. Heart rate was still reduced by 17%, compared with baseline, during dobutamine infusion in these cats.  Results of this stud</w:t>
      </w:r>
      <w:r w:rsidR="004B6A43" w:rsidRPr="004B6A43">
        <w:rPr>
          <w:rFonts w:ascii="Times" w:hAnsi="Times" w:cs="Times"/>
          <w:color w:val="141413"/>
        </w:rPr>
        <w:t>y indicated that IV administra</w:t>
      </w:r>
      <w:r w:rsidRPr="004B6A43">
        <w:rPr>
          <w:rFonts w:ascii="Times" w:hAnsi="Times" w:cs="Times"/>
          <w:color w:val="141413"/>
        </w:rPr>
        <w:t>tion of ivabradine decreased HR and the rate-pressure product in anesthetize</w:t>
      </w:r>
      <w:r w:rsidR="004B6A43" w:rsidRPr="004B6A43">
        <w:rPr>
          <w:rFonts w:ascii="Times" w:hAnsi="Times" w:cs="Times"/>
          <w:color w:val="141413"/>
        </w:rPr>
        <w:t>d cats with HCM. Left ventricu</w:t>
      </w:r>
      <w:r w:rsidRPr="004B6A43">
        <w:rPr>
          <w:rFonts w:ascii="Times" w:hAnsi="Times" w:cs="Times"/>
          <w:color w:val="141413"/>
        </w:rPr>
        <w:t>lar systolic and diastolic</w:t>
      </w:r>
      <w:r w:rsidR="004B6A43" w:rsidRPr="004B6A43">
        <w:rPr>
          <w:rFonts w:ascii="Times" w:hAnsi="Times" w:cs="Times"/>
          <w:color w:val="141413"/>
        </w:rPr>
        <w:t xml:space="preserve"> function as well as LA perfor</w:t>
      </w:r>
      <w:r w:rsidRPr="004B6A43">
        <w:rPr>
          <w:rFonts w:ascii="Times" w:hAnsi="Times" w:cs="Times"/>
          <w:color w:val="141413"/>
        </w:rPr>
        <w:t>mance were either unchanged or minimally affected by ivabradine. Tachycardia induced by dobutamine was significantly blunted by ivabradine but not by esmo</w:t>
      </w:r>
      <w:r w:rsidR="004B6A43" w:rsidRPr="004B6A43">
        <w:rPr>
          <w:rFonts w:ascii="Times" w:hAnsi="Times" w:cs="Times"/>
          <w:color w:val="141413"/>
        </w:rPr>
        <w:t>lol.</w:t>
      </w:r>
    </w:p>
    <w:p w:rsidR="00415D75" w:rsidRPr="004B6A43" w:rsidRDefault="00415D75" w:rsidP="00415D75">
      <w:pPr>
        <w:pStyle w:val="ListParagraph"/>
        <w:numPr>
          <w:ilvl w:val="0"/>
          <w:numId w:val="7"/>
        </w:numPr>
        <w:rPr>
          <w:rFonts w:cs="Helvetica"/>
          <w:color w:val="141413"/>
        </w:rPr>
      </w:pPr>
      <w:r w:rsidRPr="004B6A43">
        <w:rPr>
          <w:rFonts w:ascii="Times" w:hAnsi="Times" w:cs="Times"/>
          <w:color w:val="141413"/>
        </w:rPr>
        <w:t>Thus, results suggested that the nega</w:t>
      </w:r>
      <w:r w:rsidR="004B6A43" w:rsidRPr="004B6A43">
        <w:rPr>
          <w:rFonts w:ascii="Times" w:hAnsi="Times" w:cs="Times"/>
          <w:color w:val="141413"/>
        </w:rPr>
        <w:t>tive chronotropic effect of iv</w:t>
      </w:r>
      <w:r w:rsidRPr="004B6A43">
        <w:rPr>
          <w:rFonts w:ascii="Times" w:hAnsi="Times" w:cs="Times"/>
          <w:color w:val="141413"/>
        </w:rPr>
        <w:t>abradine in the setting of sympathetic stimulation is more pronounced than that of a moderately high dose of esmolol in anesthetized cats with HCM. However, during ivabradine infusio</w:t>
      </w:r>
      <w:r w:rsidR="004B6A43" w:rsidRPr="004B6A43">
        <w:rPr>
          <w:rFonts w:ascii="Times" w:hAnsi="Times" w:cs="Times"/>
          <w:color w:val="141413"/>
        </w:rPr>
        <w:t>n, the sinus rate was still re</w:t>
      </w:r>
      <w:r w:rsidRPr="004B6A43">
        <w:rPr>
          <w:rFonts w:ascii="Times" w:hAnsi="Times" w:cs="Times"/>
          <w:color w:val="141413"/>
        </w:rPr>
        <w:t>sponsive to dobutamine. Complete suppression of the HR response to sympathetic stimulation is undesirable, considering a higher HR is needed during stress and exercise</w:t>
      </w:r>
      <w:r w:rsidR="004B6A43" w:rsidRPr="004B6A43">
        <w:rPr>
          <w:rFonts w:ascii="Times" w:hAnsi="Times" w:cs="Times"/>
          <w:color w:val="141413"/>
        </w:rPr>
        <w:t>.</w:t>
      </w:r>
    </w:p>
    <w:p w:rsidR="001618BA" w:rsidRPr="004B6A43" w:rsidRDefault="004B6A43" w:rsidP="00415D75">
      <w:pPr>
        <w:pStyle w:val="ListParagraph"/>
        <w:numPr>
          <w:ilvl w:val="0"/>
          <w:numId w:val="7"/>
        </w:numPr>
        <w:rPr>
          <w:rFonts w:cs="Helvetica"/>
          <w:color w:val="141413"/>
        </w:rPr>
      </w:pPr>
      <w:r w:rsidRPr="004B6A43">
        <w:rPr>
          <w:rFonts w:ascii="Times" w:hAnsi="Times" w:cs="Times"/>
          <w:color w:val="141413"/>
        </w:rPr>
        <w:t>A</w:t>
      </w:r>
      <w:r w:rsidR="001618BA" w:rsidRPr="004B6A43">
        <w:rPr>
          <w:rFonts w:ascii="Times" w:hAnsi="Times" w:cs="Times"/>
          <w:color w:val="141413"/>
        </w:rPr>
        <w:t xml:space="preserve"> significant increase in diastolic wa</w:t>
      </w:r>
      <w:r w:rsidRPr="004B6A43">
        <w:rPr>
          <w:rFonts w:ascii="Times" w:hAnsi="Times" w:cs="Times"/>
          <w:color w:val="141413"/>
        </w:rPr>
        <w:t>ll stress following administra</w:t>
      </w:r>
      <w:r w:rsidR="001618BA" w:rsidRPr="004B6A43">
        <w:rPr>
          <w:rFonts w:ascii="Times" w:hAnsi="Times" w:cs="Times"/>
          <w:color w:val="141413"/>
        </w:rPr>
        <w:t xml:space="preserve">tion of ivabradine </w:t>
      </w:r>
      <w:r w:rsidRPr="004B6A43">
        <w:rPr>
          <w:rFonts w:ascii="Times" w:hAnsi="Times" w:cs="Times"/>
          <w:color w:val="141413"/>
        </w:rPr>
        <w:t xml:space="preserve">was found </w:t>
      </w:r>
      <w:r w:rsidR="001618BA" w:rsidRPr="004B6A43">
        <w:rPr>
          <w:rFonts w:ascii="Times" w:hAnsi="Times" w:cs="Times"/>
          <w:color w:val="141413"/>
        </w:rPr>
        <w:t>in both groups because of an increase of LV EDP and LV end-diastolic dimension. Increased diastolic wall stress in combination with hypertrophy may favor the development of myocardial ischemia, especially in the subendocardium.</w:t>
      </w:r>
      <w:r w:rsidRPr="004B6A43">
        <w:rPr>
          <w:rFonts w:ascii="Times" w:hAnsi="Times" w:cs="Times"/>
          <w:color w:val="141413"/>
        </w:rPr>
        <w:t xml:space="preserve"> However, the in</w:t>
      </w:r>
      <w:r w:rsidR="001618BA" w:rsidRPr="004B6A43">
        <w:rPr>
          <w:rFonts w:ascii="Times" w:hAnsi="Times" w:cs="Times"/>
          <w:color w:val="141413"/>
        </w:rPr>
        <w:t>crease in end-diastolic wa</w:t>
      </w:r>
      <w:r w:rsidRPr="004B6A43">
        <w:rPr>
          <w:rFonts w:ascii="Times" w:hAnsi="Times" w:cs="Times"/>
          <w:color w:val="141413"/>
        </w:rPr>
        <w:t>ll stress was low and the cons</w:t>
      </w:r>
      <w:r w:rsidR="001618BA" w:rsidRPr="004B6A43">
        <w:rPr>
          <w:rFonts w:ascii="Times" w:hAnsi="Times" w:cs="Times"/>
          <w:color w:val="141413"/>
        </w:rPr>
        <w:t>equences would likely be balanced by the concurrent reduction of HR and the rate-pressure product in cats with HCM. Both H</w:t>
      </w:r>
      <w:r w:rsidRPr="004B6A43">
        <w:rPr>
          <w:rFonts w:ascii="Times" w:hAnsi="Times" w:cs="Times"/>
          <w:color w:val="141413"/>
        </w:rPr>
        <w:t>R and rate-pressure product de</w:t>
      </w:r>
      <w:r w:rsidR="001618BA" w:rsidRPr="004B6A43">
        <w:rPr>
          <w:rFonts w:ascii="Times" w:hAnsi="Times" w:cs="Times"/>
          <w:color w:val="141413"/>
        </w:rPr>
        <w:t xml:space="preserve">creased with </w:t>
      </w:r>
      <w:bookmarkStart w:id="0" w:name="_GoBack"/>
      <w:bookmarkEnd w:id="0"/>
      <w:r w:rsidR="001618BA" w:rsidRPr="004B6A43">
        <w:rPr>
          <w:rFonts w:ascii="Times" w:hAnsi="Times" w:cs="Times"/>
          <w:color w:val="141413"/>
        </w:rPr>
        <w:t>administration of ivabradine, indicating a lower myocardial oxygen demand.</w:t>
      </w:r>
    </w:p>
    <w:p w:rsidR="00794E78" w:rsidRPr="004B6A43" w:rsidRDefault="00794E78" w:rsidP="004B6A43">
      <w:pPr>
        <w:pStyle w:val="ListParagraph"/>
        <w:numPr>
          <w:ilvl w:val="0"/>
          <w:numId w:val="7"/>
        </w:numPr>
        <w:rPr>
          <w:rFonts w:cs="Helvetica"/>
          <w:color w:val="141413"/>
        </w:rPr>
      </w:pPr>
      <w:r w:rsidRPr="004B6A43">
        <w:rPr>
          <w:rFonts w:ascii="Times" w:hAnsi="Times" w:cs="Times"/>
          <w:color w:val="141413"/>
        </w:rPr>
        <w:t>As expected, LV contractility decreased under the influence of esmolol in all cats. Similar observations were identified in cats with HCM after administration of ivabradine; however, ot</w:t>
      </w:r>
      <w:r w:rsidR="004B6A43" w:rsidRPr="004B6A43">
        <w:rPr>
          <w:rFonts w:ascii="Times" w:hAnsi="Times" w:cs="Times"/>
          <w:color w:val="141413"/>
        </w:rPr>
        <w:t>her variables of systolic func</w:t>
      </w:r>
      <w:r w:rsidRPr="004B6A43">
        <w:rPr>
          <w:rFonts w:ascii="Times" w:hAnsi="Times" w:cs="Times"/>
          <w:color w:val="141413"/>
        </w:rPr>
        <w:t>tion (eg, fractional shortening, ejection fraction, and radial and circumferential strain rate and radial strain) were not altered.</w:t>
      </w:r>
      <w:r w:rsidR="004B6A43" w:rsidRPr="004B6A43">
        <w:rPr>
          <w:rFonts w:ascii="Times" w:hAnsi="Times" w:cs="Times"/>
          <w:color w:val="141413"/>
        </w:rPr>
        <w:t xml:space="preserve">  </w:t>
      </w:r>
      <w:r w:rsidRPr="004B6A43">
        <w:rPr>
          <w:rFonts w:ascii="Times" w:hAnsi="Times" w:cs="Times"/>
          <w:color w:val="141413"/>
        </w:rPr>
        <w:t>More tha</w:t>
      </w:r>
      <w:r w:rsidR="004B6A43" w:rsidRPr="004B6A43">
        <w:rPr>
          <w:rFonts w:ascii="Times" w:hAnsi="Times" w:cs="Times"/>
          <w:color w:val="141413"/>
        </w:rPr>
        <w:t>n 50% of cats with HCM have dy</w:t>
      </w:r>
      <w:r w:rsidRPr="004B6A43">
        <w:rPr>
          <w:rFonts w:ascii="Times" w:hAnsi="Times" w:cs="Times"/>
          <w:color w:val="141413"/>
        </w:rPr>
        <w:t xml:space="preserve">namic obstruction of the LV outflow tract </w:t>
      </w:r>
      <w:r w:rsidR="004B6A43" w:rsidRPr="004B6A43">
        <w:rPr>
          <w:rFonts w:ascii="Times" w:hAnsi="Times" w:cs="Times"/>
          <w:color w:val="141413"/>
        </w:rPr>
        <w:t>and nega</w:t>
      </w:r>
      <w:r w:rsidRPr="004B6A43">
        <w:rPr>
          <w:rFonts w:ascii="Times" w:hAnsi="Times" w:cs="Times"/>
          <w:color w:val="141413"/>
        </w:rPr>
        <w:t>tive inotropy is a well-known mechanism for relief of the obstruction.</w:t>
      </w:r>
      <w:r w:rsidR="004B6A43" w:rsidRPr="004B6A43">
        <w:rPr>
          <w:rFonts w:ascii="Times" w:hAnsi="Times" w:cs="Times"/>
          <w:color w:val="141413"/>
        </w:rPr>
        <w:t xml:space="preserve">  Therefore, this effect of ivabradine may be beneficial.</w:t>
      </w:r>
    </w:p>
    <w:sectPr w:rsidR="00794E78" w:rsidRPr="004B6A43" w:rsidSect="00D46B9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7517F"/>
    <w:multiLevelType w:val="hybridMultilevel"/>
    <w:tmpl w:val="56B4A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CE29C5"/>
    <w:multiLevelType w:val="hybridMultilevel"/>
    <w:tmpl w:val="4F3A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1A0309"/>
    <w:multiLevelType w:val="hybridMultilevel"/>
    <w:tmpl w:val="6E4C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8525A0"/>
    <w:multiLevelType w:val="hybridMultilevel"/>
    <w:tmpl w:val="23BC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7F5849"/>
    <w:multiLevelType w:val="hybridMultilevel"/>
    <w:tmpl w:val="441E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8607A0"/>
    <w:multiLevelType w:val="hybridMultilevel"/>
    <w:tmpl w:val="CAD6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A97AA4"/>
    <w:multiLevelType w:val="hybridMultilevel"/>
    <w:tmpl w:val="91EE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useFELayout/>
  </w:compat>
  <w:rsids>
    <w:rsidRoot w:val="0080134A"/>
    <w:rsid w:val="00071B5C"/>
    <w:rsid w:val="0007317A"/>
    <w:rsid w:val="000F128C"/>
    <w:rsid w:val="001618BA"/>
    <w:rsid w:val="0031272D"/>
    <w:rsid w:val="003E2CE8"/>
    <w:rsid w:val="00415D75"/>
    <w:rsid w:val="004B6A43"/>
    <w:rsid w:val="00554F03"/>
    <w:rsid w:val="0058515F"/>
    <w:rsid w:val="005F0DF2"/>
    <w:rsid w:val="0065297D"/>
    <w:rsid w:val="00750C28"/>
    <w:rsid w:val="00765351"/>
    <w:rsid w:val="00794E78"/>
    <w:rsid w:val="0080134A"/>
    <w:rsid w:val="0089439F"/>
    <w:rsid w:val="009537E3"/>
    <w:rsid w:val="009C3E3B"/>
    <w:rsid w:val="00AB1AC2"/>
    <w:rsid w:val="00B20314"/>
    <w:rsid w:val="00B21388"/>
    <w:rsid w:val="00B566FF"/>
    <w:rsid w:val="00CA3039"/>
    <w:rsid w:val="00CE7091"/>
    <w:rsid w:val="00D46B93"/>
    <w:rsid w:val="00DB3D22"/>
    <w:rsid w:val="00E30C64"/>
    <w:rsid w:val="00E94354"/>
    <w:rsid w:val="00FC43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E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34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34A"/>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4125</Words>
  <Characters>23519</Characters>
  <Application>Microsoft Office Word</Application>
  <DocSecurity>0</DocSecurity>
  <Lines>195</Lines>
  <Paragraphs>55</Paragraphs>
  <ScaleCrop>false</ScaleCrop>
  <Company>Cornell University</Company>
  <LinksUpToDate>false</LinksUpToDate>
  <CharactersWithSpaces>27589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kjb225</cp:lastModifiedBy>
  <cp:revision>2</cp:revision>
  <dcterms:created xsi:type="dcterms:W3CDTF">2012-03-12T21:27:00Z</dcterms:created>
  <dcterms:modified xsi:type="dcterms:W3CDTF">2012-03-12T21:27:00Z</dcterms:modified>
</cp:coreProperties>
</file>