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5A245" w14:textId="77777777" w:rsidR="008574F1" w:rsidRDefault="008574F1" w:rsidP="00857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9"/>
          <w:szCs w:val="29"/>
        </w:rPr>
      </w:pPr>
      <w:r>
        <w:rPr>
          <w:rFonts w:ascii="Helvetica" w:hAnsi="Helvetica" w:cs="Helvetica"/>
          <w:color w:val="000000"/>
          <w:sz w:val="29"/>
          <w:szCs w:val="29"/>
        </w:rPr>
        <w:t xml:space="preserve">Evaluation of </w:t>
      </w:r>
      <w:proofErr w:type="spellStart"/>
      <w:r>
        <w:rPr>
          <w:rFonts w:ascii="Helvetica" w:hAnsi="Helvetica" w:cs="Helvetica"/>
          <w:color w:val="000000"/>
          <w:sz w:val="29"/>
          <w:szCs w:val="29"/>
        </w:rPr>
        <w:t>Postceliotomy</w:t>
      </w:r>
      <w:proofErr w:type="spellEnd"/>
      <w:r>
        <w:rPr>
          <w:rFonts w:ascii="Helvetica" w:hAnsi="Helvetica" w:cs="Helvetica"/>
          <w:color w:val="000000"/>
          <w:sz w:val="29"/>
          <w:szCs w:val="29"/>
        </w:rPr>
        <w:t xml:space="preserve"> Peritoneal Drain Fluid Volume, Cytology, and Blood-to-Peritoneal Fluid Lactate and Glucose Differences in Normal Dogs </w:t>
      </w:r>
    </w:p>
    <w:p w14:paraId="680EFE04" w14:textId="77777777" w:rsidR="008574F1" w:rsidRDefault="008574F1" w:rsidP="00857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9"/>
          <w:szCs w:val="19"/>
        </w:rPr>
      </w:pPr>
      <w:r>
        <w:rPr>
          <w:rFonts w:ascii="Helvetica" w:hAnsi="Helvetica" w:cs="Helvetica"/>
          <w:color w:val="000000"/>
          <w:sz w:val="19"/>
          <w:szCs w:val="19"/>
        </w:rPr>
        <w:t xml:space="preserve">Stephanie D. </w:t>
      </w:r>
      <w:proofErr w:type="spellStart"/>
      <w:r>
        <w:rPr>
          <w:rFonts w:ascii="Helvetica" w:hAnsi="Helvetica" w:cs="Helvetica"/>
          <w:color w:val="000000"/>
          <w:sz w:val="19"/>
          <w:szCs w:val="19"/>
        </w:rPr>
        <w:t>Szabo</w:t>
      </w:r>
      <w:proofErr w:type="spellEnd"/>
      <w:r>
        <w:rPr>
          <w:rFonts w:ascii="Helvetica" w:hAnsi="Helvetica" w:cs="Helvetica"/>
          <w:color w:val="000000"/>
          <w:sz w:val="19"/>
          <w:szCs w:val="19"/>
        </w:rPr>
        <w:t xml:space="preserve">, DVM, </w:t>
      </w:r>
      <w:proofErr w:type="spellStart"/>
      <w:r>
        <w:rPr>
          <w:rFonts w:ascii="Helvetica" w:hAnsi="Helvetica" w:cs="Helvetica"/>
          <w:color w:val="000000"/>
          <w:sz w:val="19"/>
          <w:szCs w:val="19"/>
        </w:rPr>
        <w:t>Kieri</w:t>
      </w:r>
      <w:proofErr w:type="spellEnd"/>
      <w:r>
        <w:rPr>
          <w:rFonts w:ascii="Helvetica" w:hAnsi="Helvetica" w:cs="Helvetica"/>
          <w:color w:val="000000"/>
          <w:sz w:val="19"/>
          <w:szCs w:val="19"/>
        </w:rPr>
        <w:t xml:space="preserve"> Jermyn, </w:t>
      </w:r>
      <w:proofErr w:type="spellStart"/>
      <w:r>
        <w:rPr>
          <w:rFonts w:ascii="Helvetica" w:hAnsi="Helvetica" w:cs="Helvetica"/>
          <w:color w:val="000000"/>
          <w:sz w:val="19"/>
          <w:szCs w:val="19"/>
        </w:rPr>
        <w:t>BVSc</w:t>
      </w:r>
      <w:proofErr w:type="spellEnd"/>
      <w:r>
        <w:rPr>
          <w:rFonts w:ascii="Helvetica" w:hAnsi="Helvetica" w:cs="Helvetica"/>
          <w:color w:val="000000"/>
          <w:sz w:val="19"/>
          <w:szCs w:val="19"/>
        </w:rPr>
        <w:t>, Jennifer Neel</w:t>
      </w:r>
      <w:r>
        <w:rPr>
          <w:rFonts w:ascii="Helvetica" w:hAnsi="Helvetica" w:cs="Helvetica"/>
          <w:color w:val="000000"/>
          <w:sz w:val="14"/>
          <w:szCs w:val="14"/>
        </w:rPr>
        <w:t>2</w:t>
      </w:r>
      <w:r>
        <w:rPr>
          <w:rFonts w:ascii="Helvetica" w:hAnsi="Helvetica" w:cs="Helvetica"/>
          <w:color w:val="000000"/>
          <w:sz w:val="19"/>
          <w:szCs w:val="19"/>
        </w:rPr>
        <w:t xml:space="preserve">, DVM, </w:t>
      </w:r>
      <w:proofErr w:type="spellStart"/>
      <w:r>
        <w:rPr>
          <w:rFonts w:ascii="Helvetica" w:hAnsi="Helvetica" w:cs="Helvetica"/>
          <w:color w:val="000000"/>
          <w:sz w:val="19"/>
          <w:szCs w:val="19"/>
        </w:rPr>
        <w:t>Diplomate</w:t>
      </w:r>
      <w:proofErr w:type="spellEnd"/>
      <w:r>
        <w:rPr>
          <w:rFonts w:ascii="Helvetica" w:hAnsi="Helvetica" w:cs="Helvetica"/>
          <w:color w:val="000000"/>
          <w:sz w:val="19"/>
          <w:szCs w:val="19"/>
        </w:rPr>
        <w:t xml:space="preserve"> ACVP, and</w:t>
      </w:r>
    </w:p>
    <w:p w14:paraId="2233CE33" w14:textId="77777777" w:rsidR="008574F1" w:rsidRDefault="008574F1" w:rsidP="00857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9"/>
          <w:szCs w:val="19"/>
        </w:rPr>
      </w:pPr>
      <w:r>
        <w:rPr>
          <w:rFonts w:ascii="Helvetica" w:hAnsi="Helvetica" w:cs="Helvetica"/>
          <w:color w:val="000000"/>
          <w:sz w:val="19"/>
          <w:szCs w:val="19"/>
        </w:rPr>
        <w:t xml:space="preserve">Kyle G. Mathews, DVM, MS, </w:t>
      </w:r>
      <w:proofErr w:type="spellStart"/>
      <w:r>
        <w:rPr>
          <w:rFonts w:ascii="Helvetica" w:hAnsi="Helvetica" w:cs="Helvetica"/>
          <w:color w:val="000000"/>
          <w:sz w:val="19"/>
          <w:szCs w:val="19"/>
        </w:rPr>
        <w:t>Diplomate</w:t>
      </w:r>
      <w:proofErr w:type="spellEnd"/>
      <w:r>
        <w:rPr>
          <w:rFonts w:ascii="Helvetica" w:hAnsi="Helvetica" w:cs="Helvetica"/>
          <w:color w:val="000000"/>
          <w:sz w:val="19"/>
          <w:szCs w:val="19"/>
        </w:rPr>
        <w:t xml:space="preserve"> ACVS</w:t>
      </w:r>
    </w:p>
    <w:p w14:paraId="387A3FD6" w14:textId="77777777" w:rsidR="008574F1" w:rsidRPr="008574F1" w:rsidRDefault="008574F1" w:rsidP="00857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i/>
          <w:color w:val="000000"/>
          <w:sz w:val="18"/>
          <w:szCs w:val="18"/>
        </w:rPr>
      </w:pPr>
      <w:r>
        <w:rPr>
          <w:rFonts w:ascii="Times" w:hAnsi="Times" w:cs="Times"/>
          <w:i/>
          <w:color w:val="000000"/>
          <w:sz w:val="18"/>
          <w:szCs w:val="18"/>
        </w:rPr>
        <w:t>Veterinary Surgery 40 (</w:t>
      </w:r>
      <w:r w:rsidR="000360EF">
        <w:rPr>
          <w:rFonts w:ascii="Times" w:hAnsi="Times" w:cs="Times"/>
          <w:i/>
          <w:color w:val="000000"/>
          <w:sz w:val="18"/>
          <w:szCs w:val="18"/>
        </w:rPr>
        <w:t xml:space="preserve">June </w:t>
      </w:r>
      <w:r>
        <w:rPr>
          <w:rFonts w:ascii="Times" w:hAnsi="Times" w:cs="Times"/>
          <w:i/>
          <w:color w:val="000000"/>
          <w:sz w:val="18"/>
          <w:szCs w:val="18"/>
        </w:rPr>
        <w:t>2011) 444-449</w:t>
      </w:r>
    </w:p>
    <w:p w14:paraId="44EFCF41" w14:textId="77777777" w:rsidR="008574F1" w:rsidRPr="00265EE9" w:rsidRDefault="008574F1" w:rsidP="00857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2"/>
          <w:szCs w:val="22"/>
        </w:rPr>
      </w:pPr>
    </w:p>
    <w:p w14:paraId="3EEEDAA3" w14:textId="77777777" w:rsidR="008574F1" w:rsidRPr="00265EE9" w:rsidRDefault="008574F1" w:rsidP="00857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2"/>
          <w:szCs w:val="22"/>
        </w:rPr>
      </w:pPr>
      <w:r w:rsidRPr="00265EE9">
        <w:rPr>
          <w:rFonts w:ascii="Times" w:hAnsi="Times" w:cs="Times"/>
          <w:b/>
          <w:color w:val="000000"/>
          <w:sz w:val="22"/>
          <w:szCs w:val="22"/>
        </w:rPr>
        <w:t>Objective</w:t>
      </w:r>
      <w:r w:rsidRPr="00265EE9">
        <w:rPr>
          <w:rFonts w:ascii="Times" w:hAnsi="Times" w:cs="Times"/>
          <w:color w:val="000000"/>
          <w:sz w:val="22"/>
          <w:szCs w:val="22"/>
        </w:rPr>
        <w:t xml:space="preserve">: To describe peritoneal drain fluid volume, fluid cytology, and blood- to-peritoneal fluid lactate and glucose concentration differences after exploratory </w:t>
      </w:r>
      <w:proofErr w:type="spellStart"/>
      <w:r w:rsidRPr="00265EE9">
        <w:rPr>
          <w:rFonts w:ascii="Times" w:hAnsi="Times" w:cs="Times"/>
          <w:color w:val="000000"/>
          <w:sz w:val="22"/>
          <w:szCs w:val="22"/>
        </w:rPr>
        <w:t>celiotomy</w:t>
      </w:r>
      <w:proofErr w:type="spellEnd"/>
      <w:r w:rsidRPr="00265EE9">
        <w:rPr>
          <w:rFonts w:ascii="Times" w:hAnsi="Times" w:cs="Times"/>
          <w:color w:val="000000"/>
          <w:sz w:val="22"/>
          <w:szCs w:val="22"/>
        </w:rPr>
        <w:t xml:space="preserve"> in normal dogs. </w:t>
      </w:r>
    </w:p>
    <w:p w14:paraId="6C4679E0" w14:textId="77777777" w:rsidR="008574F1" w:rsidRPr="00265EE9" w:rsidRDefault="008574F1" w:rsidP="008574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2"/>
          <w:szCs w:val="22"/>
        </w:rPr>
      </w:pPr>
      <w:r w:rsidRPr="00265EE9">
        <w:rPr>
          <w:rFonts w:ascii="Times" w:hAnsi="Times" w:cs="Times"/>
          <w:color w:val="000000"/>
          <w:sz w:val="22"/>
          <w:szCs w:val="22"/>
        </w:rPr>
        <w:t>Study Design: Prospective study.</w:t>
      </w:r>
    </w:p>
    <w:p w14:paraId="66BE7E55" w14:textId="77777777" w:rsidR="008574F1" w:rsidRPr="00265EE9" w:rsidRDefault="008574F1" w:rsidP="008574F1">
      <w:pPr>
        <w:rPr>
          <w:rFonts w:ascii="Times" w:hAnsi="Times" w:cs="Times"/>
          <w:color w:val="000000"/>
          <w:sz w:val="22"/>
          <w:szCs w:val="22"/>
        </w:rPr>
      </w:pPr>
      <w:r w:rsidRPr="00265EE9">
        <w:rPr>
          <w:rFonts w:ascii="Times" w:hAnsi="Times" w:cs="Times"/>
          <w:b/>
          <w:color w:val="000000"/>
          <w:sz w:val="22"/>
          <w:szCs w:val="22"/>
        </w:rPr>
        <w:t>Animals</w:t>
      </w:r>
      <w:r w:rsidRPr="00265EE9">
        <w:rPr>
          <w:rFonts w:ascii="Times" w:hAnsi="Times" w:cs="Times"/>
          <w:color w:val="000000"/>
          <w:sz w:val="22"/>
          <w:szCs w:val="22"/>
        </w:rPr>
        <w:t xml:space="preserve">: Healthy Beagle </w:t>
      </w:r>
      <w:proofErr w:type="gramStart"/>
      <w:r w:rsidRPr="00265EE9">
        <w:rPr>
          <w:rFonts w:ascii="Times" w:hAnsi="Times" w:cs="Times"/>
          <w:color w:val="000000"/>
          <w:sz w:val="22"/>
          <w:szCs w:val="22"/>
        </w:rPr>
        <w:t>dogs(</w:t>
      </w:r>
      <w:proofErr w:type="gramEnd"/>
      <w:r w:rsidRPr="00265EE9">
        <w:rPr>
          <w:rFonts w:ascii="Times" w:hAnsi="Times" w:cs="Times"/>
          <w:color w:val="000000"/>
          <w:sz w:val="22"/>
          <w:szCs w:val="22"/>
        </w:rPr>
        <w:t xml:space="preserve">n=10). </w:t>
      </w:r>
    </w:p>
    <w:p w14:paraId="35017BBD" w14:textId="77777777" w:rsidR="008574F1" w:rsidRPr="00265EE9" w:rsidRDefault="008574F1" w:rsidP="008574F1">
      <w:pPr>
        <w:rPr>
          <w:rFonts w:ascii="Times" w:hAnsi="Times" w:cs="Times"/>
          <w:color w:val="000000"/>
          <w:sz w:val="22"/>
          <w:szCs w:val="22"/>
        </w:rPr>
      </w:pPr>
      <w:r w:rsidRPr="00265EE9">
        <w:rPr>
          <w:rFonts w:ascii="Times" w:hAnsi="Times" w:cs="Times"/>
          <w:b/>
          <w:color w:val="000000"/>
          <w:sz w:val="22"/>
          <w:szCs w:val="22"/>
        </w:rPr>
        <w:t>Methods</w:t>
      </w:r>
      <w:r w:rsidRPr="00265EE9">
        <w:rPr>
          <w:rFonts w:ascii="Times" w:hAnsi="Times" w:cs="Times"/>
          <w:color w:val="000000"/>
          <w:sz w:val="22"/>
          <w:szCs w:val="22"/>
        </w:rPr>
        <w:t xml:space="preserve">: After exploratory </w:t>
      </w:r>
      <w:proofErr w:type="spellStart"/>
      <w:r w:rsidRPr="00265EE9">
        <w:rPr>
          <w:rFonts w:ascii="Times" w:hAnsi="Times" w:cs="Times"/>
          <w:color w:val="000000"/>
          <w:sz w:val="22"/>
          <w:szCs w:val="22"/>
        </w:rPr>
        <w:t>celiotomy</w:t>
      </w:r>
      <w:proofErr w:type="spellEnd"/>
      <w:r w:rsidRPr="00265EE9">
        <w:rPr>
          <w:rFonts w:ascii="Times" w:hAnsi="Times" w:cs="Times"/>
          <w:color w:val="000000"/>
          <w:sz w:val="22"/>
          <w:szCs w:val="22"/>
        </w:rPr>
        <w:t xml:space="preserve">, a peritoneal drain was placed, and peritoneal fluid was recorded every 6 hours for 7 days. Fluid was submitted for </w:t>
      </w:r>
      <w:proofErr w:type="spellStart"/>
      <w:r w:rsidRPr="00265EE9">
        <w:rPr>
          <w:rFonts w:ascii="Times" w:hAnsi="Times" w:cs="Times"/>
          <w:color w:val="000000"/>
          <w:sz w:val="22"/>
          <w:szCs w:val="22"/>
        </w:rPr>
        <w:t>cytologic</w:t>
      </w:r>
      <w:proofErr w:type="spellEnd"/>
      <w:r w:rsidRPr="00265EE9">
        <w:rPr>
          <w:rFonts w:ascii="Times" w:hAnsi="Times" w:cs="Times"/>
          <w:color w:val="000000"/>
          <w:sz w:val="22"/>
          <w:szCs w:val="22"/>
        </w:rPr>
        <w:t xml:space="preserve"> examination, and fluid and blood glucose and lactate concentrations were recorded every 12 hours. On day 7, drains were removed and drain tips submitted for aerobic bacterial culture. </w:t>
      </w:r>
    </w:p>
    <w:p w14:paraId="14F4DAFA" w14:textId="77777777" w:rsidR="008574F1" w:rsidRPr="00265EE9" w:rsidRDefault="008574F1" w:rsidP="008574F1">
      <w:pPr>
        <w:rPr>
          <w:rFonts w:ascii="Times" w:hAnsi="Times" w:cs="Times"/>
          <w:color w:val="000000"/>
          <w:sz w:val="22"/>
          <w:szCs w:val="22"/>
        </w:rPr>
      </w:pPr>
      <w:r w:rsidRPr="00265EE9">
        <w:rPr>
          <w:rFonts w:ascii="Times" w:hAnsi="Times" w:cs="Times"/>
          <w:b/>
          <w:color w:val="000000"/>
          <w:sz w:val="22"/>
          <w:szCs w:val="22"/>
        </w:rPr>
        <w:t>Results</w:t>
      </w:r>
      <w:r w:rsidRPr="00265EE9">
        <w:rPr>
          <w:rFonts w:ascii="Times" w:hAnsi="Times" w:cs="Times"/>
          <w:color w:val="000000"/>
          <w:sz w:val="22"/>
          <w:szCs w:val="22"/>
        </w:rPr>
        <w:t>: Mean peritoneal fluid volume decreased from 2.8 mL/kg/day (day 1) to 0.6 mL/kg/day (day 7). All dogs had degenerate neutrophils in peritoneal fluid throughout the 7 days. Four dogs developed contaminated drains. Blood-to- peritoneal glucose concentration differences &gt;20 mg/</w:t>
      </w:r>
      <w:proofErr w:type="spellStart"/>
      <w:r w:rsidRPr="00265EE9">
        <w:rPr>
          <w:rFonts w:ascii="Times" w:hAnsi="Times" w:cs="Times"/>
          <w:color w:val="000000"/>
          <w:sz w:val="22"/>
          <w:szCs w:val="22"/>
        </w:rPr>
        <w:t>dL</w:t>
      </w:r>
      <w:proofErr w:type="spellEnd"/>
      <w:r w:rsidRPr="00265EE9">
        <w:rPr>
          <w:rFonts w:ascii="Times" w:hAnsi="Times" w:cs="Times"/>
          <w:color w:val="000000"/>
          <w:sz w:val="22"/>
          <w:szCs w:val="22"/>
        </w:rPr>
        <w:t xml:space="preserve"> occurred after day 4. By day 7, 5 of 7 dogs with patent drains had blood-to-peritoneal lactate concentration differences </w:t>
      </w:r>
      <w:r w:rsidRPr="00265EE9">
        <w:rPr>
          <w:rFonts w:ascii="Helvetica" w:hAnsi="Helvetica" w:cs="Helvetica"/>
          <w:color w:val="000000"/>
          <w:sz w:val="22"/>
          <w:szCs w:val="22"/>
        </w:rPr>
        <w:t>&lt;-</w:t>
      </w:r>
      <w:r w:rsidRPr="00265EE9">
        <w:rPr>
          <w:rFonts w:ascii="Times" w:hAnsi="Times" w:cs="Times"/>
          <w:color w:val="000000"/>
          <w:sz w:val="22"/>
          <w:szCs w:val="22"/>
        </w:rPr>
        <w:t xml:space="preserve">2 </w:t>
      </w:r>
      <w:proofErr w:type="spellStart"/>
      <w:r w:rsidRPr="00265EE9">
        <w:rPr>
          <w:rFonts w:ascii="Times" w:hAnsi="Times" w:cs="Times"/>
          <w:color w:val="000000"/>
          <w:sz w:val="22"/>
          <w:szCs w:val="22"/>
        </w:rPr>
        <w:t>mmol</w:t>
      </w:r>
      <w:proofErr w:type="spellEnd"/>
      <w:r w:rsidRPr="00265EE9">
        <w:rPr>
          <w:rFonts w:ascii="Times" w:hAnsi="Times" w:cs="Times"/>
          <w:color w:val="000000"/>
          <w:sz w:val="22"/>
          <w:szCs w:val="22"/>
        </w:rPr>
        <w:t xml:space="preserve">/L. </w:t>
      </w:r>
    </w:p>
    <w:p w14:paraId="10817015" w14:textId="77777777" w:rsidR="00D46B93" w:rsidRPr="00265EE9" w:rsidRDefault="008574F1" w:rsidP="008574F1">
      <w:pPr>
        <w:rPr>
          <w:rFonts w:ascii="Times" w:hAnsi="Times" w:cs="Times"/>
          <w:color w:val="000000"/>
          <w:sz w:val="22"/>
          <w:szCs w:val="22"/>
        </w:rPr>
      </w:pPr>
      <w:r w:rsidRPr="00265EE9">
        <w:rPr>
          <w:rFonts w:ascii="Times" w:hAnsi="Times" w:cs="Times"/>
          <w:b/>
          <w:color w:val="000000"/>
          <w:sz w:val="22"/>
          <w:szCs w:val="22"/>
        </w:rPr>
        <w:t>Conclusion</w:t>
      </w:r>
      <w:r w:rsidRPr="00265EE9">
        <w:rPr>
          <w:rFonts w:ascii="Times" w:hAnsi="Times" w:cs="Times"/>
          <w:color w:val="000000"/>
          <w:sz w:val="22"/>
          <w:szCs w:val="22"/>
        </w:rPr>
        <w:t>: After day 4, blood-to-peritoneal glucose concentration differences were consistent with septic effusion based on previously reported values used to diagnose septic peritonitis in dogs. Blood-to-peritoneal lactate concentration differences varied but after day 4, &gt;70% of dogs had differences consistent with septic peritonitis each day. Postoperative blood-to-peritoneal fluid glucose and lactate difference may not be reliable indicators of septic peritonitis when evaluating abdominal fluid collected with closed suction drains.</w:t>
      </w:r>
    </w:p>
    <w:p w14:paraId="50B57F23" w14:textId="77777777" w:rsidR="00265EE9" w:rsidRDefault="00265EE9" w:rsidP="008574F1">
      <w:pPr>
        <w:rPr>
          <w:rFonts w:ascii="Times" w:hAnsi="Times" w:cs="Times"/>
          <w:color w:val="000000"/>
          <w:sz w:val="18"/>
          <w:szCs w:val="18"/>
        </w:rPr>
      </w:pPr>
    </w:p>
    <w:p w14:paraId="5DDB53AE" w14:textId="77777777" w:rsidR="00265EE9" w:rsidRPr="00265EE9" w:rsidRDefault="00265EE9" w:rsidP="008574F1">
      <w:pPr>
        <w:rPr>
          <w:rFonts w:ascii="Times" w:hAnsi="Times" w:cs="Times"/>
          <w:b/>
          <w:color w:val="000000"/>
        </w:rPr>
      </w:pPr>
      <w:r>
        <w:rPr>
          <w:rFonts w:ascii="Times" w:hAnsi="Times" w:cs="Times"/>
          <w:b/>
          <w:color w:val="000000"/>
          <w:sz w:val="22"/>
          <w:szCs w:val="22"/>
        </w:rPr>
        <w:t xml:space="preserve">Take </w:t>
      </w:r>
      <w:r w:rsidRPr="00265EE9">
        <w:rPr>
          <w:rFonts w:ascii="Times" w:hAnsi="Times" w:cs="Times"/>
          <w:b/>
          <w:color w:val="000000"/>
        </w:rPr>
        <w:t>Homes:</w:t>
      </w:r>
    </w:p>
    <w:p w14:paraId="42261E9D" w14:textId="77777777" w:rsidR="00356102" w:rsidRPr="00356102" w:rsidRDefault="00265EE9" w:rsidP="00356102">
      <w:pPr>
        <w:pStyle w:val="ListParagraph"/>
        <w:numPr>
          <w:ilvl w:val="0"/>
          <w:numId w:val="1"/>
        </w:numPr>
        <w:rPr>
          <w:rFonts w:ascii="Times" w:hAnsi="Times" w:cs="Times"/>
          <w:color w:val="000000"/>
        </w:rPr>
      </w:pPr>
      <w:r w:rsidRPr="00356102">
        <w:rPr>
          <w:rFonts w:ascii="Times" w:hAnsi="Times" w:cs="Times"/>
          <w:color w:val="000000"/>
        </w:rPr>
        <w:t>Blood-to-peritoneal drain fluid glucose concentration difference increased</w:t>
      </w:r>
      <w:r w:rsidRPr="00356102">
        <w:rPr>
          <w:rFonts w:ascii="Times" w:hAnsi="Times" w:cs="Times"/>
          <w:color w:val="000000"/>
        </w:rPr>
        <w:tab/>
      </w:r>
      <w:r w:rsidRPr="00356102">
        <w:rPr>
          <w:rFonts w:ascii="Times" w:hAnsi="Times" w:cs="Times"/>
          <w:color w:val="000000"/>
        </w:rPr>
        <w:tab/>
        <w:t xml:space="preserve">     </w:t>
      </w:r>
    </w:p>
    <w:p w14:paraId="4B715629" w14:textId="77777777" w:rsidR="00103374" w:rsidRDefault="00265EE9" w:rsidP="00103374">
      <w:pPr>
        <w:pStyle w:val="ListParagraph"/>
        <w:rPr>
          <w:rFonts w:ascii="Times" w:hAnsi="Times" w:cs="Times"/>
          <w:color w:val="000000"/>
        </w:rPr>
      </w:pPr>
      <w:proofErr w:type="gramStart"/>
      <w:r w:rsidRPr="00356102">
        <w:rPr>
          <w:rFonts w:ascii="Times" w:hAnsi="Times" w:cs="Times"/>
          <w:color w:val="000000"/>
        </w:rPr>
        <w:t>to</w:t>
      </w:r>
      <w:proofErr w:type="gramEnd"/>
      <w:r w:rsidRPr="00356102">
        <w:rPr>
          <w:rFonts w:ascii="Times" w:hAnsi="Times" w:cs="Times"/>
          <w:color w:val="000000"/>
        </w:rPr>
        <w:t xml:space="preserve"> &gt;20 mg/</w:t>
      </w:r>
      <w:proofErr w:type="spellStart"/>
      <w:r w:rsidRPr="00356102">
        <w:rPr>
          <w:rFonts w:ascii="Times" w:hAnsi="Times" w:cs="Times"/>
          <w:color w:val="000000"/>
        </w:rPr>
        <w:t>dL</w:t>
      </w:r>
      <w:proofErr w:type="spellEnd"/>
      <w:r w:rsidRPr="00356102">
        <w:rPr>
          <w:rFonts w:ascii="Times" w:hAnsi="Times" w:cs="Times"/>
          <w:color w:val="000000"/>
        </w:rPr>
        <w:t xml:space="preserve"> in all dogs after </w:t>
      </w:r>
      <w:r w:rsidR="00356102">
        <w:rPr>
          <w:rFonts w:ascii="Times" w:hAnsi="Times" w:cs="Times"/>
          <w:color w:val="000000"/>
        </w:rPr>
        <w:t xml:space="preserve">day </w:t>
      </w:r>
      <w:r w:rsidR="00356102" w:rsidRPr="00356102">
        <w:rPr>
          <w:rFonts w:ascii="Times" w:hAnsi="Times" w:cs="Times"/>
          <w:color w:val="000000"/>
        </w:rPr>
        <w:t>4.  B</w:t>
      </w:r>
      <w:r w:rsidRPr="00356102">
        <w:rPr>
          <w:rFonts w:ascii="Times" w:hAnsi="Times" w:cs="Times"/>
          <w:color w:val="000000"/>
        </w:rPr>
        <w:t>y day 4, 7 of 9 dogs with patent peritoneal drains had blood-to-peritoneal lactate concentration differences</w:t>
      </w:r>
      <w:r w:rsidR="00356102">
        <w:rPr>
          <w:rFonts w:ascii="Helvetica" w:hAnsi="Helvetica" w:cs="Helvetica"/>
          <w:color w:val="000000"/>
        </w:rPr>
        <w:t xml:space="preserve"> &lt;</w:t>
      </w:r>
      <w:r w:rsidRPr="00356102">
        <w:rPr>
          <w:rFonts w:ascii="Times" w:hAnsi="Times" w:cs="Times"/>
          <w:color w:val="000000"/>
        </w:rPr>
        <w:t>–2mmol/L.</w:t>
      </w:r>
    </w:p>
    <w:p w14:paraId="560336AA" w14:textId="77777777" w:rsidR="00103374" w:rsidRPr="00103374" w:rsidRDefault="00265EE9" w:rsidP="00103374">
      <w:pPr>
        <w:pStyle w:val="ListParagraph"/>
        <w:numPr>
          <w:ilvl w:val="0"/>
          <w:numId w:val="1"/>
        </w:numPr>
        <w:rPr>
          <w:rFonts w:ascii="Times" w:hAnsi="Times" w:cs="Times"/>
          <w:color w:val="000000"/>
        </w:rPr>
      </w:pPr>
      <w:r w:rsidRPr="00103374">
        <w:rPr>
          <w:rFonts w:ascii="Times" w:hAnsi="Times" w:cs="Times"/>
          <w:color w:val="000000"/>
        </w:rPr>
        <w:t xml:space="preserve">All dogs had degenerate neutrophils in their peritoneal fluid postoperatively. </w:t>
      </w:r>
    </w:p>
    <w:p w14:paraId="5454F471" w14:textId="77777777" w:rsidR="00265EE9" w:rsidRDefault="00265EE9" w:rsidP="008574F1">
      <w:pPr>
        <w:pStyle w:val="ListParagraph"/>
        <w:numPr>
          <w:ilvl w:val="0"/>
          <w:numId w:val="1"/>
        </w:numPr>
        <w:rPr>
          <w:rFonts w:ascii="Times" w:hAnsi="Times" w:cs="Times"/>
          <w:color w:val="000000"/>
        </w:rPr>
      </w:pPr>
      <w:r w:rsidRPr="00103374">
        <w:rPr>
          <w:rFonts w:ascii="Times" w:hAnsi="Times" w:cs="Times"/>
          <w:color w:val="000000"/>
        </w:rPr>
        <w:t>Drain contamination rate was 44%.</w:t>
      </w:r>
    </w:p>
    <w:p w14:paraId="5A328757" w14:textId="77777777" w:rsidR="00103374" w:rsidRDefault="00103374" w:rsidP="00103374">
      <w:pPr>
        <w:rPr>
          <w:rFonts w:ascii="Times" w:hAnsi="Times" w:cs="Times"/>
          <w:color w:val="000000"/>
        </w:rPr>
      </w:pPr>
    </w:p>
    <w:p w14:paraId="5F7EEAD9" w14:textId="77777777" w:rsidR="00103374" w:rsidRDefault="00103374" w:rsidP="00103374">
      <w:pPr>
        <w:rPr>
          <w:rFonts w:ascii="Times" w:hAnsi="Times" w:cs="Times"/>
          <w:b/>
          <w:color w:val="000000"/>
        </w:rPr>
      </w:pPr>
      <w:r>
        <w:rPr>
          <w:rFonts w:ascii="Times" w:hAnsi="Times" w:cs="Times"/>
          <w:b/>
          <w:color w:val="000000"/>
        </w:rPr>
        <w:t>Questions:</w:t>
      </w:r>
    </w:p>
    <w:p w14:paraId="2304634C" w14:textId="77777777" w:rsidR="00103374" w:rsidRDefault="00103374" w:rsidP="00103374">
      <w:pPr>
        <w:pStyle w:val="ListParagraph"/>
        <w:numPr>
          <w:ilvl w:val="0"/>
          <w:numId w:val="2"/>
        </w:numPr>
        <w:rPr>
          <w:rFonts w:ascii="Times" w:hAnsi="Times" w:cs="Times"/>
          <w:color w:val="000000"/>
        </w:rPr>
      </w:pPr>
      <w:r>
        <w:rPr>
          <w:rFonts w:ascii="Times" w:hAnsi="Times" w:cs="Times"/>
          <w:color w:val="000000"/>
        </w:rPr>
        <w:t xml:space="preserve">All of the following are consistent with normal postoperative changes associated with drain placement after exploratory </w:t>
      </w:r>
      <w:proofErr w:type="spellStart"/>
      <w:r>
        <w:rPr>
          <w:rFonts w:ascii="Times" w:hAnsi="Times" w:cs="Times"/>
          <w:color w:val="000000"/>
        </w:rPr>
        <w:t>celiotomies</w:t>
      </w:r>
      <w:proofErr w:type="spellEnd"/>
      <w:r>
        <w:rPr>
          <w:rFonts w:ascii="Times" w:hAnsi="Times" w:cs="Times"/>
          <w:color w:val="000000"/>
        </w:rPr>
        <w:t xml:space="preserve"> except</w:t>
      </w:r>
    </w:p>
    <w:p w14:paraId="7A6213A0" w14:textId="77777777" w:rsidR="00103374" w:rsidRDefault="00103374" w:rsidP="00103374">
      <w:pPr>
        <w:pStyle w:val="ListParagraph"/>
        <w:numPr>
          <w:ilvl w:val="1"/>
          <w:numId w:val="2"/>
        </w:numPr>
        <w:rPr>
          <w:rFonts w:ascii="Times" w:hAnsi="Times" w:cs="Times"/>
          <w:color w:val="000000"/>
        </w:rPr>
      </w:pPr>
      <w:r>
        <w:rPr>
          <w:rFonts w:ascii="Times" w:hAnsi="Times" w:cs="Times"/>
          <w:color w:val="000000"/>
        </w:rPr>
        <w:t>Blood glucose concentration of 90mg/</w:t>
      </w:r>
      <w:proofErr w:type="spellStart"/>
      <w:r>
        <w:rPr>
          <w:rFonts w:ascii="Times" w:hAnsi="Times" w:cs="Times"/>
          <w:color w:val="000000"/>
        </w:rPr>
        <w:t>dL</w:t>
      </w:r>
      <w:proofErr w:type="spellEnd"/>
      <w:r>
        <w:rPr>
          <w:rFonts w:ascii="Times" w:hAnsi="Times" w:cs="Times"/>
          <w:color w:val="000000"/>
        </w:rPr>
        <w:t xml:space="preserve"> and peritoneal glucose concentration of 60mg/</w:t>
      </w:r>
      <w:proofErr w:type="spellStart"/>
      <w:r>
        <w:rPr>
          <w:rFonts w:ascii="Times" w:hAnsi="Times" w:cs="Times"/>
          <w:color w:val="000000"/>
        </w:rPr>
        <w:t>dL</w:t>
      </w:r>
      <w:proofErr w:type="spellEnd"/>
      <w:r>
        <w:rPr>
          <w:rFonts w:ascii="Times" w:hAnsi="Times" w:cs="Times"/>
          <w:color w:val="000000"/>
        </w:rPr>
        <w:t xml:space="preserve"> on day 4 post-op</w:t>
      </w:r>
    </w:p>
    <w:p w14:paraId="1F97EA19" w14:textId="77777777" w:rsidR="00103374" w:rsidRDefault="00103374" w:rsidP="00103374">
      <w:pPr>
        <w:pStyle w:val="ListParagraph"/>
        <w:numPr>
          <w:ilvl w:val="1"/>
          <w:numId w:val="2"/>
        </w:numPr>
        <w:rPr>
          <w:rFonts w:ascii="Times" w:hAnsi="Times" w:cs="Times"/>
          <w:color w:val="000000"/>
        </w:rPr>
      </w:pPr>
      <w:r>
        <w:rPr>
          <w:rFonts w:ascii="Times" w:hAnsi="Times" w:cs="Times"/>
          <w:color w:val="000000"/>
        </w:rPr>
        <w:t xml:space="preserve">Blood lactate concentration of 1.5 </w:t>
      </w:r>
      <w:proofErr w:type="spellStart"/>
      <w:r>
        <w:rPr>
          <w:rFonts w:ascii="Times" w:hAnsi="Times" w:cs="Times"/>
          <w:color w:val="000000"/>
        </w:rPr>
        <w:t>mmol</w:t>
      </w:r>
      <w:proofErr w:type="spellEnd"/>
      <w:proofErr w:type="gramStart"/>
      <w:r>
        <w:rPr>
          <w:rFonts w:ascii="Times" w:hAnsi="Times" w:cs="Times"/>
          <w:color w:val="000000"/>
        </w:rPr>
        <w:t>./</w:t>
      </w:r>
      <w:proofErr w:type="gramEnd"/>
      <w:r>
        <w:rPr>
          <w:rFonts w:ascii="Times" w:hAnsi="Times" w:cs="Times"/>
          <w:color w:val="000000"/>
        </w:rPr>
        <w:t>L and peritoneal lactate concentration of 4mmol/L on day 4 post-op</w:t>
      </w:r>
    </w:p>
    <w:p w14:paraId="21FC760F" w14:textId="77777777" w:rsidR="00103374" w:rsidRDefault="00103374" w:rsidP="00103374">
      <w:pPr>
        <w:pStyle w:val="ListParagraph"/>
        <w:numPr>
          <w:ilvl w:val="1"/>
          <w:numId w:val="2"/>
        </w:numPr>
        <w:rPr>
          <w:rFonts w:ascii="Times" w:hAnsi="Times" w:cs="Times"/>
          <w:color w:val="000000"/>
        </w:rPr>
      </w:pPr>
      <w:r>
        <w:rPr>
          <w:rFonts w:ascii="Times" w:hAnsi="Times" w:cs="Times"/>
          <w:color w:val="000000"/>
        </w:rPr>
        <w:t>Degenerate neutrophils on fluid analysis</w:t>
      </w:r>
    </w:p>
    <w:p w14:paraId="6D49E108" w14:textId="77777777" w:rsidR="00103374" w:rsidRDefault="00103374" w:rsidP="00103374">
      <w:pPr>
        <w:pStyle w:val="ListParagraph"/>
        <w:numPr>
          <w:ilvl w:val="1"/>
          <w:numId w:val="2"/>
        </w:numPr>
        <w:rPr>
          <w:rFonts w:ascii="Times" w:hAnsi="Times" w:cs="Times"/>
          <w:color w:val="000000"/>
        </w:rPr>
      </w:pPr>
      <w:r>
        <w:rPr>
          <w:rFonts w:ascii="Times" w:hAnsi="Times" w:cs="Times"/>
          <w:color w:val="000000"/>
        </w:rPr>
        <w:t>A gradual decrease in drain fluid production</w:t>
      </w:r>
    </w:p>
    <w:p w14:paraId="464AE9F7" w14:textId="77777777" w:rsidR="00103374" w:rsidRPr="00103374" w:rsidRDefault="00103374" w:rsidP="00103374">
      <w:pPr>
        <w:pStyle w:val="ListParagraph"/>
        <w:numPr>
          <w:ilvl w:val="1"/>
          <w:numId w:val="2"/>
        </w:numPr>
        <w:rPr>
          <w:rFonts w:ascii="Times" w:hAnsi="Times" w:cs="Times"/>
          <w:color w:val="000000"/>
        </w:rPr>
      </w:pPr>
      <w:r>
        <w:rPr>
          <w:rFonts w:ascii="Times" w:hAnsi="Times" w:cs="Times"/>
          <w:color w:val="000000"/>
        </w:rPr>
        <w:t>None of the above</w:t>
      </w:r>
    </w:p>
    <w:p w14:paraId="42FE7E86" w14:textId="77777777" w:rsidR="00265EE9" w:rsidRDefault="00265EE9" w:rsidP="008574F1"/>
    <w:p w14:paraId="3848B3B2" w14:textId="77777777" w:rsidR="00554F55" w:rsidRDefault="00554F55" w:rsidP="008574F1"/>
    <w:p w14:paraId="58228569" w14:textId="77777777" w:rsidR="00554F55" w:rsidRDefault="00554F55" w:rsidP="008574F1"/>
    <w:p w14:paraId="3F64ED81" w14:textId="77777777" w:rsidR="00554F55" w:rsidRDefault="00554F55" w:rsidP="008574F1"/>
    <w:p w14:paraId="1DF837F8" w14:textId="77777777" w:rsidR="00554F55" w:rsidRDefault="00554F55" w:rsidP="00554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9"/>
          <w:szCs w:val="29"/>
        </w:rPr>
      </w:pPr>
      <w:r>
        <w:rPr>
          <w:rFonts w:ascii="Helvetica" w:hAnsi="Helvetica" w:cs="Helvetica"/>
          <w:color w:val="000000"/>
          <w:sz w:val="29"/>
          <w:szCs w:val="29"/>
        </w:rPr>
        <w:lastRenderedPageBreak/>
        <w:t>Effects of Negative Pressure Wound Therapy on Healing of Open Wounds in Dogs</w:t>
      </w:r>
    </w:p>
    <w:p w14:paraId="5687F138" w14:textId="77777777" w:rsidR="00554F55" w:rsidRDefault="00554F55" w:rsidP="00554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9"/>
          <w:szCs w:val="19"/>
        </w:rPr>
      </w:pPr>
      <w:r>
        <w:rPr>
          <w:rFonts w:ascii="Helvetica" w:hAnsi="Helvetica" w:cs="Helvetica"/>
          <w:color w:val="000000"/>
          <w:sz w:val="19"/>
          <w:szCs w:val="19"/>
        </w:rPr>
        <w:t xml:space="preserve">Marco </w:t>
      </w:r>
      <w:proofErr w:type="spellStart"/>
      <w:r>
        <w:rPr>
          <w:rFonts w:ascii="Helvetica" w:hAnsi="Helvetica" w:cs="Helvetica"/>
          <w:color w:val="000000"/>
          <w:sz w:val="19"/>
          <w:szCs w:val="19"/>
        </w:rPr>
        <w:t>Demaria</w:t>
      </w:r>
      <w:proofErr w:type="spellEnd"/>
      <w:r>
        <w:rPr>
          <w:rFonts w:ascii="Helvetica" w:hAnsi="Helvetica" w:cs="Helvetica"/>
          <w:color w:val="000000"/>
          <w:sz w:val="19"/>
          <w:szCs w:val="19"/>
        </w:rPr>
        <w:t xml:space="preserve">, DVM, </w:t>
      </w:r>
      <w:proofErr w:type="spellStart"/>
      <w:r>
        <w:rPr>
          <w:rFonts w:ascii="Helvetica" w:hAnsi="Helvetica" w:cs="Helvetica"/>
          <w:color w:val="000000"/>
          <w:sz w:val="19"/>
          <w:szCs w:val="19"/>
        </w:rPr>
        <w:t>Bryden</w:t>
      </w:r>
      <w:proofErr w:type="spellEnd"/>
      <w:r>
        <w:rPr>
          <w:rFonts w:ascii="Helvetica" w:hAnsi="Helvetica" w:cs="Helvetica"/>
          <w:color w:val="000000"/>
          <w:sz w:val="19"/>
          <w:szCs w:val="19"/>
        </w:rPr>
        <w:t xml:space="preserve"> J. Stanley, BVMS, </w:t>
      </w:r>
      <w:proofErr w:type="spellStart"/>
      <w:r>
        <w:rPr>
          <w:rFonts w:ascii="Helvetica" w:hAnsi="Helvetica" w:cs="Helvetica"/>
          <w:color w:val="000000"/>
          <w:sz w:val="19"/>
          <w:szCs w:val="19"/>
        </w:rPr>
        <w:t>MVetSc</w:t>
      </w:r>
      <w:proofErr w:type="spellEnd"/>
      <w:r>
        <w:rPr>
          <w:rFonts w:ascii="Helvetica" w:hAnsi="Helvetica" w:cs="Helvetica"/>
          <w:color w:val="000000"/>
          <w:sz w:val="19"/>
          <w:szCs w:val="19"/>
        </w:rPr>
        <w:t xml:space="preserve">, </w:t>
      </w:r>
      <w:proofErr w:type="spellStart"/>
      <w:r>
        <w:rPr>
          <w:rFonts w:ascii="Helvetica" w:hAnsi="Helvetica" w:cs="Helvetica"/>
          <w:color w:val="000000"/>
          <w:sz w:val="19"/>
          <w:szCs w:val="19"/>
        </w:rPr>
        <w:t>Diplomate</w:t>
      </w:r>
      <w:proofErr w:type="spellEnd"/>
      <w:r>
        <w:rPr>
          <w:rFonts w:ascii="Helvetica" w:hAnsi="Helvetica" w:cs="Helvetica"/>
          <w:color w:val="000000"/>
          <w:sz w:val="19"/>
          <w:szCs w:val="19"/>
        </w:rPr>
        <w:t xml:space="preserve"> ACVS, Joe G. Hauptman, DVM, MS, </w:t>
      </w:r>
      <w:proofErr w:type="spellStart"/>
      <w:r>
        <w:rPr>
          <w:rFonts w:ascii="Helvetica" w:hAnsi="Helvetica" w:cs="Helvetica"/>
          <w:color w:val="000000"/>
          <w:sz w:val="19"/>
          <w:szCs w:val="19"/>
        </w:rPr>
        <w:t>Diplomate</w:t>
      </w:r>
      <w:proofErr w:type="spellEnd"/>
      <w:r>
        <w:rPr>
          <w:rFonts w:ascii="Helvetica" w:hAnsi="Helvetica" w:cs="Helvetica"/>
          <w:color w:val="000000"/>
          <w:sz w:val="19"/>
          <w:szCs w:val="19"/>
        </w:rPr>
        <w:t xml:space="preserve"> ACVS, Barbara A. Steficek</w:t>
      </w:r>
      <w:r>
        <w:rPr>
          <w:rFonts w:ascii="Helvetica" w:hAnsi="Helvetica" w:cs="Helvetica"/>
          <w:color w:val="000000"/>
          <w:sz w:val="14"/>
          <w:szCs w:val="14"/>
        </w:rPr>
        <w:t>2</w:t>
      </w:r>
      <w:r>
        <w:rPr>
          <w:rFonts w:ascii="Helvetica" w:hAnsi="Helvetica" w:cs="Helvetica"/>
          <w:color w:val="000000"/>
          <w:sz w:val="19"/>
          <w:szCs w:val="19"/>
        </w:rPr>
        <w:t xml:space="preserve">, DVM, PhD, </w:t>
      </w:r>
      <w:proofErr w:type="spellStart"/>
      <w:r>
        <w:rPr>
          <w:rFonts w:ascii="Helvetica" w:hAnsi="Helvetica" w:cs="Helvetica"/>
          <w:color w:val="000000"/>
          <w:sz w:val="19"/>
          <w:szCs w:val="19"/>
        </w:rPr>
        <w:t>Diplomate</w:t>
      </w:r>
      <w:proofErr w:type="spellEnd"/>
      <w:r>
        <w:rPr>
          <w:rFonts w:ascii="Helvetica" w:hAnsi="Helvetica" w:cs="Helvetica"/>
          <w:color w:val="000000"/>
          <w:sz w:val="19"/>
          <w:szCs w:val="19"/>
        </w:rPr>
        <w:t xml:space="preserve"> ACVP, Michele C. Fritz, BSc, LVT, John M. Ryan, MVB, MRCVS, Nathaniel A. Lam, DVM, Trevor W. Moore, DVM, and Heather S. Hadley, DVM</w:t>
      </w:r>
    </w:p>
    <w:p w14:paraId="383DE02A" w14:textId="77777777" w:rsidR="00554F55" w:rsidRPr="00554F55" w:rsidRDefault="00554F55" w:rsidP="00554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i/>
          <w:color w:val="000000"/>
          <w:sz w:val="19"/>
          <w:szCs w:val="19"/>
        </w:rPr>
      </w:pPr>
      <w:r>
        <w:rPr>
          <w:rFonts w:ascii="Helvetica" w:hAnsi="Helvetica" w:cs="Helvetica"/>
          <w:i/>
          <w:color w:val="000000"/>
          <w:sz w:val="19"/>
          <w:szCs w:val="19"/>
        </w:rPr>
        <w:t>Veterinary Surgery 40 (August 2011):</w:t>
      </w:r>
      <w:r w:rsidR="00E54CFF">
        <w:rPr>
          <w:rFonts w:ascii="Helvetica" w:hAnsi="Helvetica" w:cs="Helvetica"/>
          <w:i/>
          <w:color w:val="000000"/>
          <w:sz w:val="19"/>
          <w:szCs w:val="19"/>
        </w:rPr>
        <w:t xml:space="preserve"> 658-669</w:t>
      </w:r>
    </w:p>
    <w:p w14:paraId="38CD7789" w14:textId="77777777" w:rsidR="00554F55" w:rsidRDefault="00554F55" w:rsidP="00554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b/>
          <w:color w:val="000000"/>
          <w:sz w:val="22"/>
          <w:szCs w:val="22"/>
        </w:rPr>
      </w:pPr>
    </w:p>
    <w:p w14:paraId="3D6F992A" w14:textId="77777777" w:rsidR="00554F55" w:rsidRDefault="00554F55" w:rsidP="00554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2"/>
          <w:szCs w:val="22"/>
        </w:rPr>
      </w:pPr>
      <w:r w:rsidRPr="00554F55">
        <w:rPr>
          <w:rFonts w:ascii="Times" w:hAnsi="Times" w:cs="Times"/>
          <w:b/>
          <w:color w:val="000000"/>
          <w:sz w:val="22"/>
          <w:szCs w:val="22"/>
        </w:rPr>
        <w:t>Objective</w:t>
      </w:r>
      <w:r w:rsidRPr="00554F55">
        <w:rPr>
          <w:rFonts w:ascii="Times" w:hAnsi="Times" w:cs="Times"/>
          <w:color w:val="000000"/>
          <w:sz w:val="22"/>
          <w:szCs w:val="22"/>
        </w:rPr>
        <w:t xml:space="preserve">: To compare the effect of negative pressure wound therapy (NPWT) with standard-of-care management on healing of acute open wounds in dogs. </w:t>
      </w:r>
    </w:p>
    <w:p w14:paraId="7D53A44A" w14:textId="77777777" w:rsidR="00554F55" w:rsidRDefault="00554F55" w:rsidP="00554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2"/>
          <w:szCs w:val="22"/>
        </w:rPr>
      </w:pPr>
      <w:r w:rsidRPr="00554F55">
        <w:rPr>
          <w:rFonts w:ascii="Times" w:hAnsi="Times" w:cs="Times"/>
          <w:b/>
          <w:color w:val="000000"/>
          <w:sz w:val="22"/>
          <w:szCs w:val="22"/>
        </w:rPr>
        <w:t>Study Design</w:t>
      </w:r>
      <w:r w:rsidRPr="00554F55">
        <w:rPr>
          <w:rFonts w:ascii="Times" w:hAnsi="Times" w:cs="Times"/>
          <w:color w:val="000000"/>
          <w:sz w:val="22"/>
          <w:szCs w:val="22"/>
        </w:rPr>
        <w:t xml:space="preserve">: Prospective, controlled, experimental study. </w:t>
      </w:r>
    </w:p>
    <w:p w14:paraId="0CD2A864" w14:textId="77777777" w:rsidR="00554F55" w:rsidRPr="00554F55" w:rsidRDefault="00554F55" w:rsidP="00554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2"/>
          <w:szCs w:val="22"/>
        </w:rPr>
      </w:pPr>
      <w:r w:rsidRPr="00554F55">
        <w:rPr>
          <w:rFonts w:ascii="Times" w:hAnsi="Times" w:cs="Times"/>
          <w:b/>
          <w:color w:val="000000"/>
          <w:sz w:val="22"/>
          <w:szCs w:val="22"/>
        </w:rPr>
        <w:t>Animals</w:t>
      </w:r>
      <w:r w:rsidRPr="00554F55">
        <w:rPr>
          <w:rFonts w:ascii="Times" w:hAnsi="Times" w:cs="Times"/>
          <w:color w:val="000000"/>
          <w:sz w:val="22"/>
          <w:szCs w:val="22"/>
        </w:rPr>
        <w:t>: Adult</w:t>
      </w:r>
      <w:r>
        <w:rPr>
          <w:rFonts w:ascii="Times" w:hAnsi="Times" w:cs="Times"/>
          <w:color w:val="000000"/>
          <w:sz w:val="22"/>
          <w:szCs w:val="22"/>
        </w:rPr>
        <w:t xml:space="preserve"> </w:t>
      </w:r>
      <w:r w:rsidRPr="00554F55">
        <w:rPr>
          <w:rFonts w:ascii="Times" w:hAnsi="Times" w:cs="Times"/>
          <w:color w:val="000000"/>
          <w:sz w:val="22"/>
          <w:szCs w:val="22"/>
        </w:rPr>
        <w:t>dogs</w:t>
      </w:r>
      <w:r>
        <w:rPr>
          <w:rFonts w:ascii="Times" w:hAnsi="Times" w:cs="Times"/>
          <w:color w:val="000000"/>
          <w:sz w:val="22"/>
          <w:szCs w:val="22"/>
        </w:rPr>
        <w:t xml:space="preserve"> </w:t>
      </w:r>
      <w:r w:rsidRPr="00554F55">
        <w:rPr>
          <w:rFonts w:ascii="Times" w:hAnsi="Times" w:cs="Times"/>
          <w:color w:val="000000"/>
          <w:sz w:val="22"/>
          <w:szCs w:val="22"/>
        </w:rPr>
        <w:t>(n=10).</w:t>
      </w:r>
    </w:p>
    <w:p w14:paraId="0892C166" w14:textId="77777777" w:rsidR="00554F55" w:rsidRPr="00554F55" w:rsidRDefault="00554F55" w:rsidP="00554F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2"/>
          <w:szCs w:val="22"/>
        </w:rPr>
      </w:pPr>
      <w:r w:rsidRPr="00554F55">
        <w:rPr>
          <w:rFonts w:ascii="Times" w:hAnsi="Times" w:cs="Times"/>
          <w:b/>
          <w:color w:val="000000"/>
          <w:sz w:val="22"/>
          <w:szCs w:val="22"/>
        </w:rPr>
        <w:t>Methods</w:t>
      </w:r>
      <w:r w:rsidRPr="00554F55">
        <w:rPr>
          <w:rFonts w:ascii="Times" w:hAnsi="Times" w:cs="Times"/>
          <w:color w:val="000000"/>
          <w:sz w:val="22"/>
          <w:szCs w:val="22"/>
        </w:rPr>
        <w:t>: Full-thickness 4 cm</w:t>
      </w:r>
      <w:r>
        <w:rPr>
          <w:rFonts w:ascii="Times" w:hAnsi="Times" w:cs="Times"/>
          <w:color w:val="000000"/>
          <w:sz w:val="22"/>
          <w:szCs w:val="22"/>
        </w:rPr>
        <w:t xml:space="preserve"> x</w:t>
      </w:r>
      <w:r w:rsidRPr="00554F55">
        <w:rPr>
          <w:rFonts w:ascii="Helvetica" w:hAnsi="Helvetica" w:cs="Helvetica"/>
          <w:color w:val="000000"/>
          <w:sz w:val="22"/>
          <w:szCs w:val="22"/>
        </w:rPr>
        <w:t xml:space="preserve"> </w:t>
      </w:r>
      <w:r w:rsidRPr="00554F55">
        <w:rPr>
          <w:rFonts w:ascii="Times" w:hAnsi="Times" w:cs="Times"/>
          <w:color w:val="000000"/>
          <w:sz w:val="22"/>
          <w:szCs w:val="22"/>
        </w:rPr>
        <w:t xml:space="preserve">2 cm wounds </w:t>
      </w:r>
      <w:proofErr w:type="gramStart"/>
      <w:r w:rsidRPr="00554F55">
        <w:rPr>
          <w:rFonts w:ascii="Times" w:hAnsi="Times" w:cs="Times"/>
          <w:color w:val="000000"/>
          <w:sz w:val="22"/>
          <w:szCs w:val="22"/>
        </w:rPr>
        <w:t>were</w:t>
      </w:r>
      <w:proofErr w:type="gramEnd"/>
      <w:r w:rsidRPr="00554F55">
        <w:rPr>
          <w:rFonts w:ascii="Times" w:hAnsi="Times" w:cs="Times"/>
          <w:color w:val="000000"/>
          <w:sz w:val="22"/>
          <w:szCs w:val="22"/>
        </w:rPr>
        <w:t xml:space="preserve"> s</w:t>
      </w:r>
      <w:r>
        <w:rPr>
          <w:rFonts w:ascii="Times" w:hAnsi="Times" w:cs="Times"/>
          <w:color w:val="000000"/>
          <w:sz w:val="22"/>
          <w:szCs w:val="22"/>
        </w:rPr>
        <w:t xml:space="preserve">urgically created on each </w:t>
      </w:r>
      <w:proofErr w:type="spellStart"/>
      <w:r>
        <w:rPr>
          <w:rFonts w:ascii="Times" w:hAnsi="Times" w:cs="Times"/>
          <w:color w:val="000000"/>
          <w:sz w:val="22"/>
          <w:szCs w:val="22"/>
        </w:rPr>
        <w:t>ante</w:t>
      </w:r>
      <w:r w:rsidRPr="00554F55">
        <w:rPr>
          <w:rFonts w:ascii="Times" w:hAnsi="Times" w:cs="Times"/>
          <w:color w:val="000000"/>
          <w:sz w:val="22"/>
          <w:szCs w:val="22"/>
        </w:rPr>
        <w:t>brachium</w:t>
      </w:r>
      <w:proofErr w:type="spellEnd"/>
      <w:r w:rsidRPr="00554F55">
        <w:rPr>
          <w:rFonts w:ascii="Times" w:hAnsi="Times" w:cs="Times"/>
          <w:color w:val="000000"/>
          <w:sz w:val="22"/>
          <w:szCs w:val="22"/>
        </w:rPr>
        <w:t xml:space="preserve"> and in each dog were randomized to receive either NPWT or standard wound dressings (CON) for 21 days. Dressing changes and wound evaluations were made at 8 time points. First appearance of granulat</w:t>
      </w:r>
      <w:r>
        <w:rPr>
          <w:rFonts w:ascii="Times" w:hAnsi="Times" w:cs="Times"/>
          <w:color w:val="000000"/>
          <w:sz w:val="22"/>
          <w:szCs w:val="22"/>
        </w:rPr>
        <w:t>ion tissue, smoothness of gran</w:t>
      </w:r>
      <w:r w:rsidRPr="00554F55">
        <w:rPr>
          <w:rFonts w:ascii="Times" w:hAnsi="Times" w:cs="Times"/>
          <w:color w:val="000000"/>
          <w:sz w:val="22"/>
          <w:szCs w:val="22"/>
        </w:rPr>
        <w:t xml:space="preserve">ulation tissue, exuberance, percent epithelialization, and percent contraction were compared. Biopsies for histopathology were taken, and histologic scores determined, at 5 time points, and aerobic bacterial wound cultures performed at 2 time points. </w:t>
      </w:r>
      <w:r w:rsidRPr="00554F55">
        <w:rPr>
          <w:rFonts w:ascii="Times" w:hAnsi="Times" w:cs="Times"/>
          <w:b/>
          <w:color w:val="000000"/>
          <w:sz w:val="22"/>
          <w:szCs w:val="22"/>
        </w:rPr>
        <w:t>Results</w:t>
      </w:r>
      <w:r w:rsidRPr="00554F55">
        <w:rPr>
          <w:rFonts w:ascii="Times" w:hAnsi="Times" w:cs="Times"/>
          <w:color w:val="000000"/>
          <w:sz w:val="22"/>
          <w:szCs w:val="22"/>
        </w:rPr>
        <w:t>: Granulation tissue appeared significantly earlier, and was smoother and less exuberant in NPWT wounds compared with CON wounds. Percent contraction in NPWT wounds was less than CON wounds after Day 7. Percent epithelialization in NPWT wounds was less than CON wounds on Days 11, 16, 18, and 21. Histologic scores for acute inflammation were higher in NPWT on Day 3, and lower on Day 7, than CON wounds. Bacterial load was higher in NPWT on Day 7.</w:t>
      </w:r>
    </w:p>
    <w:p w14:paraId="01121AF5" w14:textId="77777777" w:rsidR="00554F55" w:rsidRDefault="00554F55" w:rsidP="00554F55">
      <w:pPr>
        <w:rPr>
          <w:rFonts w:ascii="Times" w:hAnsi="Times" w:cs="Times"/>
          <w:color w:val="000000"/>
          <w:sz w:val="22"/>
          <w:szCs w:val="22"/>
        </w:rPr>
      </w:pPr>
      <w:r w:rsidRPr="00554F55">
        <w:rPr>
          <w:rFonts w:ascii="Times" w:hAnsi="Times" w:cs="Times"/>
          <w:b/>
          <w:color w:val="000000"/>
          <w:sz w:val="22"/>
          <w:szCs w:val="22"/>
        </w:rPr>
        <w:t>Conclusion</w:t>
      </w:r>
      <w:r w:rsidRPr="00554F55">
        <w:rPr>
          <w:rFonts w:ascii="Times" w:hAnsi="Times" w:cs="Times"/>
          <w:color w:val="000000"/>
          <w:sz w:val="22"/>
          <w:szCs w:val="22"/>
        </w:rPr>
        <w:t>: NPWT</w:t>
      </w:r>
      <w:r>
        <w:rPr>
          <w:rFonts w:ascii="Times" w:hAnsi="Times" w:cs="Times"/>
          <w:color w:val="000000"/>
          <w:sz w:val="22"/>
          <w:szCs w:val="22"/>
        </w:rPr>
        <w:t xml:space="preserve"> </w:t>
      </w:r>
      <w:r w:rsidRPr="00554F55">
        <w:rPr>
          <w:rFonts w:ascii="Times" w:hAnsi="Times" w:cs="Times"/>
          <w:color w:val="000000"/>
          <w:sz w:val="22"/>
          <w:szCs w:val="22"/>
        </w:rPr>
        <w:t>accelerated</w:t>
      </w:r>
      <w:r>
        <w:rPr>
          <w:rFonts w:ascii="Times" w:hAnsi="Times" w:cs="Times"/>
          <w:color w:val="000000"/>
          <w:sz w:val="22"/>
          <w:szCs w:val="22"/>
        </w:rPr>
        <w:t xml:space="preserve"> </w:t>
      </w:r>
      <w:r w:rsidRPr="00554F55">
        <w:rPr>
          <w:rFonts w:ascii="Times" w:hAnsi="Times" w:cs="Times"/>
          <w:color w:val="000000"/>
          <w:sz w:val="22"/>
          <w:szCs w:val="22"/>
        </w:rPr>
        <w:t>appearance</w:t>
      </w:r>
      <w:r>
        <w:rPr>
          <w:rFonts w:ascii="Times" w:hAnsi="Times" w:cs="Times"/>
          <w:color w:val="000000"/>
          <w:sz w:val="22"/>
          <w:szCs w:val="22"/>
        </w:rPr>
        <w:t xml:space="preserve"> </w:t>
      </w:r>
      <w:r w:rsidRPr="00554F55">
        <w:rPr>
          <w:rFonts w:ascii="Times" w:hAnsi="Times" w:cs="Times"/>
          <w:color w:val="000000"/>
          <w:sz w:val="22"/>
          <w:szCs w:val="22"/>
        </w:rPr>
        <w:t>of</w:t>
      </w:r>
      <w:r>
        <w:rPr>
          <w:rFonts w:ascii="Times" w:hAnsi="Times" w:cs="Times"/>
          <w:color w:val="000000"/>
          <w:sz w:val="22"/>
          <w:szCs w:val="22"/>
        </w:rPr>
        <w:t xml:space="preserve"> </w:t>
      </w:r>
      <w:r w:rsidRPr="00554F55">
        <w:rPr>
          <w:rFonts w:ascii="Times" w:hAnsi="Times" w:cs="Times"/>
          <w:color w:val="000000"/>
          <w:sz w:val="22"/>
          <w:szCs w:val="22"/>
        </w:rPr>
        <w:t>smooth,</w:t>
      </w:r>
      <w:r>
        <w:rPr>
          <w:rFonts w:ascii="Times" w:hAnsi="Times" w:cs="Times"/>
          <w:color w:val="000000"/>
          <w:sz w:val="22"/>
          <w:szCs w:val="22"/>
        </w:rPr>
        <w:t xml:space="preserve"> </w:t>
      </w:r>
      <w:proofErr w:type="spellStart"/>
      <w:r w:rsidRPr="00554F55">
        <w:rPr>
          <w:rFonts w:ascii="Times" w:hAnsi="Times" w:cs="Times"/>
          <w:color w:val="000000"/>
          <w:sz w:val="22"/>
          <w:szCs w:val="22"/>
        </w:rPr>
        <w:t>nonexuberant</w:t>
      </w:r>
      <w:proofErr w:type="spellEnd"/>
      <w:r>
        <w:rPr>
          <w:rFonts w:ascii="Times" w:hAnsi="Times" w:cs="Times"/>
          <w:color w:val="000000"/>
          <w:sz w:val="22"/>
          <w:szCs w:val="22"/>
        </w:rPr>
        <w:t xml:space="preserve"> </w:t>
      </w:r>
      <w:r w:rsidRPr="00554F55">
        <w:rPr>
          <w:rFonts w:ascii="Times" w:hAnsi="Times" w:cs="Times"/>
          <w:color w:val="000000"/>
          <w:sz w:val="22"/>
          <w:szCs w:val="22"/>
        </w:rPr>
        <w:t>granulation tissue; however, prolonged use of NPWT impaired wound contraction and epithelialization.</w:t>
      </w:r>
    </w:p>
    <w:p w14:paraId="2EA0E59F" w14:textId="77777777" w:rsidR="00E54CFF" w:rsidRDefault="00E54CFF" w:rsidP="00554F55">
      <w:pPr>
        <w:rPr>
          <w:rFonts w:ascii="Times" w:hAnsi="Times" w:cs="Times"/>
          <w:color w:val="000000"/>
          <w:sz w:val="22"/>
          <w:szCs w:val="22"/>
        </w:rPr>
      </w:pPr>
    </w:p>
    <w:p w14:paraId="6D95DC94" w14:textId="77777777" w:rsidR="00E54CFF" w:rsidRDefault="00E54CFF" w:rsidP="00E54C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5"/>
          <w:szCs w:val="15"/>
        </w:rPr>
      </w:pPr>
      <w:r>
        <w:rPr>
          <w:rFonts w:ascii="Times" w:hAnsi="Times" w:cs="Times"/>
          <w:b/>
          <w:color w:val="000000"/>
          <w:sz w:val="22"/>
          <w:szCs w:val="22"/>
        </w:rPr>
        <w:t xml:space="preserve">Theory behind negative pressure wound therapy (NPWT) or vacuum-assisted closure (VAC): </w:t>
      </w:r>
      <w:r>
        <w:rPr>
          <w:rFonts w:ascii="Times" w:hAnsi="Times" w:cs="Times"/>
          <w:color w:val="000000"/>
          <w:sz w:val="18"/>
          <w:szCs w:val="18"/>
        </w:rPr>
        <w:t xml:space="preserve">Involves the application of </w:t>
      </w:r>
      <w:proofErr w:type="spellStart"/>
      <w:r>
        <w:rPr>
          <w:rFonts w:ascii="Times" w:hAnsi="Times" w:cs="Times"/>
          <w:color w:val="000000"/>
          <w:sz w:val="18"/>
          <w:szCs w:val="18"/>
        </w:rPr>
        <w:t>subatmospheric</w:t>
      </w:r>
      <w:proofErr w:type="spellEnd"/>
      <w:r>
        <w:rPr>
          <w:rFonts w:ascii="Times" w:hAnsi="Times" w:cs="Times"/>
          <w:color w:val="000000"/>
          <w:sz w:val="18"/>
          <w:szCs w:val="18"/>
        </w:rPr>
        <w:t xml:space="preserve"> pressure to a wound.  Treatment involves</w:t>
      </w:r>
    </w:p>
    <w:p w14:paraId="293BFA9D" w14:textId="77777777" w:rsidR="00E54CFF" w:rsidRDefault="00E54CFF" w:rsidP="00E54C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18"/>
          <w:szCs w:val="18"/>
        </w:rPr>
      </w:pPr>
      <w:proofErr w:type="gramStart"/>
      <w:r>
        <w:rPr>
          <w:rFonts w:ascii="Times" w:hAnsi="Times" w:cs="Times"/>
          <w:color w:val="000000"/>
          <w:sz w:val="18"/>
          <w:szCs w:val="18"/>
        </w:rPr>
        <w:t>uniform</w:t>
      </w:r>
      <w:proofErr w:type="gramEnd"/>
      <w:r>
        <w:rPr>
          <w:rFonts w:ascii="Times" w:hAnsi="Times" w:cs="Times"/>
          <w:color w:val="000000"/>
          <w:sz w:val="18"/>
          <w:szCs w:val="18"/>
        </w:rPr>
        <w:t xml:space="preserve"> distribution of negative pressure to all wound tissues enclosed within a sealed environment. Typically, open cell polyurethane ether foam or open weave moistened gauze is placed into the wound bed, and sealed by placing an adhesive, </w:t>
      </w:r>
      <w:proofErr w:type="spellStart"/>
      <w:r>
        <w:rPr>
          <w:rFonts w:ascii="Times" w:hAnsi="Times" w:cs="Times"/>
          <w:color w:val="000000"/>
          <w:sz w:val="18"/>
          <w:szCs w:val="18"/>
        </w:rPr>
        <w:t>nonpermeable</w:t>
      </w:r>
      <w:proofErr w:type="spellEnd"/>
      <w:r>
        <w:rPr>
          <w:rFonts w:ascii="Times" w:hAnsi="Times" w:cs="Times"/>
          <w:color w:val="000000"/>
          <w:sz w:val="18"/>
          <w:szCs w:val="18"/>
        </w:rPr>
        <w:t xml:space="preserve"> drape over the wound area and adjacent skin to create a closed system. Recent studies have shown equally effective delivery of negative pressure and mechanical deformation with either contact dressing.</w:t>
      </w:r>
      <w:r>
        <w:rPr>
          <w:rFonts w:ascii="Times" w:hAnsi="Times" w:cs="Times"/>
          <w:color w:val="000000"/>
          <w:sz w:val="13"/>
          <w:szCs w:val="13"/>
        </w:rPr>
        <w:t xml:space="preserve">  </w:t>
      </w:r>
      <w:r>
        <w:rPr>
          <w:rFonts w:ascii="Times" w:hAnsi="Times" w:cs="Times"/>
          <w:color w:val="000000"/>
          <w:sz w:val="18"/>
          <w:szCs w:val="18"/>
        </w:rPr>
        <w:t>Negative pressure is obtained and maintained by an evacuation tube leading from the contact dressing through a reservoir canister to a programmable vacuum pump.</w:t>
      </w:r>
    </w:p>
    <w:p w14:paraId="7D0A16FF" w14:textId="77777777" w:rsidR="00E54CFF" w:rsidRPr="00E54CFF" w:rsidRDefault="00E54CFF" w:rsidP="00E54CF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18"/>
          <w:szCs w:val="18"/>
        </w:rPr>
      </w:pPr>
      <w:r>
        <w:rPr>
          <w:rFonts w:ascii="Times" w:hAnsi="Times" w:cs="Times"/>
          <w:color w:val="000000"/>
          <w:sz w:val="18"/>
          <w:szCs w:val="18"/>
        </w:rPr>
        <w:t>Several mechanisms of action of NPWT have been investigated, most focused on fluid movement and mechanical application of pressure.</w:t>
      </w:r>
      <w:r>
        <w:rPr>
          <w:rFonts w:ascii="Times" w:hAnsi="Times" w:cs="Times"/>
          <w:color w:val="000000"/>
          <w:sz w:val="13"/>
          <w:szCs w:val="13"/>
        </w:rPr>
        <w:t xml:space="preserve">  </w:t>
      </w:r>
      <w:r>
        <w:rPr>
          <w:rFonts w:ascii="Times" w:hAnsi="Times" w:cs="Times"/>
          <w:color w:val="000000"/>
          <w:sz w:val="18"/>
          <w:szCs w:val="18"/>
        </w:rPr>
        <w:t xml:space="preserve">Application of a controlled vacuum to the wound interface facilitates removal of excess interstitial fluid, resulting in decreased interstitial pressure and wound edema. When interstitial pressure falls below capillary pressure, the capillaries reopen and blood flow to the wound and </w:t>
      </w:r>
      <w:proofErr w:type="spellStart"/>
      <w:r>
        <w:rPr>
          <w:rFonts w:ascii="Times" w:hAnsi="Times" w:cs="Times"/>
          <w:color w:val="000000"/>
          <w:sz w:val="18"/>
          <w:szCs w:val="18"/>
        </w:rPr>
        <w:t>periwound</w:t>
      </w:r>
      <w:proofErr w:type="spellEnd"/>
      <w:r>
        <w:rPr>
          <w:rFonts w:ascii="Times" w:hAnsi="Times" w:cs="Times"/>
          <w:color w:val="000000"/>
          <w:sz w:val="18"/>
          <w:szCs w:val="18"/>
        </w:rPr>
        <w:t xml:space="preserve"> tissue increases.</w:t>
      </w:r>
      <w:r>
        <w:rPr>
          <w:rFonts w:ascii="Times" w:hAnsi="Times" w:cs="Times"/>
          <w:color w:val="000000"/>
          <w:sz w:val="13"/>
          <w:szCs w:val="13"/>
        </w:rPr>
        <w:t xml:space="preserve">  </w:t>
      </w:r>
      <w:r>
        <w:rPr>
          <w:rFonts w:ascii="Times" w:hAnsi="Times" w:cs="Times"/>
          <w:color w:val="000000"/>
          <w:sz w:val="18"/>
          <w:szCs w:val="18"/>
        </w:rPr>
        <w:t>The mechanical deformation of the cells within and around the wound, and shear forces acting on the extracellular matrix result in a higher fibroblast mitotic rate and increased production of granulation tissue.</w:t>
      </w:r>
      <w:r>
        <w:rPr>
          <w:rFonts w:ascii="Times" w:hAnsi="Times" w:cs="Times"/>
          <w:color w:val="000000"/>
          <w:sz w:val="13"/>
          <w:szCs w:val="13"/>
        </w:rPr>
        <w:t xml:space="preserve">  </w:t>
      </w:r>
      <w:r>
        <w:rPr>
          <w:rFonts w:ascii="Times" w:hAnsi="Times" w:cs="Times"/>
          <w:color w:val="000000"/>
          <w:sz w:val="18"/>
          <w:szCs w:val="18"/>
        </w:rPr>
        <w:t xml:space="preserve">Several studies in pigs examined the physiologic response of different wound types to </w:t>
      </w:r>
      <w:proofErr w:type="spellStart"/>
      <w:r>
        <w:rPr>
          <w:rFonts w:ascii="Times" w:hAnsi="Times" w:cs="Times"/>
          <w:color w:val="000000"/>
          <w:sz w:val="18"/>
          <w:szCs w:val="18"/>
        </w:rPr>
        <w:t>subatmospheric</w:t>
      </w:r>
      <w:proofErr w:type="spellEnd"/>
      <w:r>
        <w:rPr>
          <w:rFonts w:ascii="Times" w:hAnsi="Times" w:cs="Times"/>
          <w:color w:val="000000"/>
          <w:sz w:val="18"/>
          <w:szCs w:val="18"/>
        </w:rPr>
        <w:t xml:space="preserve"> pressure treatment. There was a significant increase in granulation tissue formation and blood flow to the wound compared with control wounds.</w:t>
      </w:r>
      <w:r>
        <w:rPr>
          <w:rFonts w:ascii="Times" w:hAnsi="Times" w:cs="Times"/>
          <w:color w:val="000000"/>
          <w:sz w:val="13"/>
          <w:szCs w:val="13"/>
        </w:rPr>
        <w:t xml:space="preserve">  </w:t>
      </w:r>
      <w:r>
        <w:rPr>
          <w:rFonts w:ascii="Times" w:hAnsi="Times" w:cs="Times"/>
          <w:color w:val="000000"/>
          <w:sz w:val="18"/>
          <w:szCs w:val="18"/>
        </w:rPr>
        <w:t xml:space="preserve">A reduction in the number of bacteria in infected wounds has also been reported, but not consistently. </w:t>
      </w:r>
    </w:p>
    <w:p w14:paraId="07213D29" w14:textId="77777777" w:rsidR="00E54CFF" w:rsidRDefault="00E54CFF" w:rsidP="00554F55">
      <w:pPr>
        <w:rPr>
          <w:rFonts w:ascii="Times" w:hAnsi="Times" w:cs="Times"/>
          <w:b/>
          <w:color w:val="000000"/>
          <w:sz w:val="22"/>
          <w:szCs w:val="22"/>
        </w:rPr>
      </w:pPr>
    </w:p>
    <w:p w14:paraId="2133FF93" w14:textId="77777777" w:rsidR="00E54CFF" w:rsidRDefault="00E54CFF" w:rsidP="00554F55">
      <w:pPr>
        <w:rPr>
          <w:rFonts w:ascii="Times" w:hAnsi="Times" w:cs="Times"/>
          <w:b/>
          <w:color w:val="000000"/>
          <w:sz w:val="22"/>
          <w:szCs w:val="22"/>
        </w:rPr>
      </w:pPr>
      <w:r>
        <w:rPr>
          <w:rFonts w:ascii="Times" w:hAnsi="Times" w:cs="Times"/>
          <w:b/>
          <w:color w:val="000000"/>
          <w:sz w:val="22"/>
          <w:szCs w:val="22"/>
        </w:rPr>
        <w:t>Take Homes:</w:t>
      </w:r>
    </w:p>
    <w:p w14:paraId="62E06E49" w14:textId="77777777" w:rsidR="00FF759B" w:rsidRPr="00FF759B" w:rsidRDefault="004C1D3D" w:rsidP="00FF759B">
      <w:pPr>
        <w:pStyle w:val="ListParagraph"/>
        <w:numPr>
          <w:ilvl w:val="0"/>
          <w:numId w:val="3"/>
        </w:numPr>
        <w:rPr>
          <w:sz w:val="22"/>
          <w:szCs w:val="22"/>
        </w:rPr>
      </w:pPr>
      <w:r w:rsidRPr="00FF759B">
        <w:rPr>
          <w:sz w:val="22"/>
          <w:szCs w:val="22"/>
        </w:rPr>
        <w:t>Granulation tissue appears earlier in wounds managed with NPWT</w:t>
      </w:r>
      <w:r w:rsidR="00FF759B" w:rsidRPr="00FF759B">
        <w:rPr>
          <w:sz w:val="22"/>
          <w:szCs w:val="22"/>
        </w:rPr>
        <w:t xml:space="preserve"> than standard wound dressings (fibroplasia and angiogenesis are enhanced)</w:t>
      </w:r>
    </w:p>
    <w:p w14:paraId="56F3D616" w14:textId="77777777" w:rsidR="00FF759B" w:rsidRDefault="00FF759B" w:rsidP="00FF759B">
      <w:pPr>
        <w:pStyle w:val="ListParagraph"/>
        <w:numPr>
          <w:ilvl w:val="0"/>
          <w:numId w:val="3"/>
        </w:numPr>
        <w:rPr>
          <w:sz w:val="22"/>
          <w:szCs w:val="22"/>
        </w:rPr>
      </w:pPr>
      <w:r>
        <w:rPr>
          <w:sz w:val="22"/>
          <w:szCs w:val="22"/>
        </w:rPr>
        <w:t xml:space="preserve">Granulation tissue </w:t>
      </w:r>
      <w:r w:rsidR="00D50371">
        <w:rPr>
          <w:sz w:val="22"/>
          <w:szCs w:val="22"/>
        </w:rPr>
        <w:t xml:space="preserve">is </w:t>
      </w:r>
      <w:r>
        <w:rPr>
          <w:sz w:val="22"/>
          <w:szCs w:val="22"/>
        </w:rPr>
        <w:t>less exuberant when NPWT applied</w:t>
      </w:r>
    </w:p>
    <w:p w14:paraId="6368F596" w14:textId="77777777" w:rsidR="0020751B" w:rsidRDefault="00FF759B" w:rsidP="00FF759B">
      <w:pPr>
        <w:pStyle w:val="ListParagraph"/>
        <w:numPr>
          <w:ilvl w:val="0"/>
          <w:numId w:val="3"/>
        </w:numPr>
        <w:rPr>
          <w:sz w:val="22"/>
          <w:szCs w:val="22"/>
        </w:rPr>
      </w:pPr>
      <w:r>
        <w:rPr>
          <w:sz w:val="22"/>
          <w:szCs w:val="22"/>
        </w:rPr>
        <w:t xml:space="preserve">NPWT wounds </w:t>
      </w:r>
      <w:r w:rsidR="0020751B">
        <w:rPr>
          <w:sz w:val="22"/>
          <w:szCs w:val="22"/>
        </w:rPr>
        <w:t>retracted more than CON wounds</w:t>
      </w:r>
    </w:p>
    <w:p w14:paraId="4CA27566" w14:textId="77777777" w:rsidR="0020751B" w:rsidRDefault="0020751B" w:rsidP="00FF759B">
      <w:pPr>
        <w:pStyle w:val="ListParagraph"/>
        <w:numPr>
          <w:ilvl w:val="0"/>
          <w:numId w:val="3"/>
        </w:numPr>
        <w:rPr>
          <w:sz w:val="22"/>
          <w:szCs w:val="22"/>
        </w:rPr>
      </w:pPr>
      <w:r>
        <w:rPr>
          <w:sz w:val="22"/>
          <w:szCs w:val="22"/>
        </w:rPr>
        <w:t>Epithelialization is retarded by NPWT</w:t>
      </w:r>
    </w:p>
    <w:p w14:paraId="0F7EB834" w14:textId="77777777" w:rsidR="0020751B" w:rsidRDefault="0020751B" w:rsidP="0020751B">
      <w:pPr>
        <w:rPr>
          <w:sz w:val="22"/>
          <w:szCs w:val="22"/>
        </w:rPr>
      </w:pPr>
    </w:p>
    <w:p w14:paraId="0B6D56D2" w14:textId="77777777" w:rsidR="00D50371" w:rsidRDefault="0020751B" w:rsidP="0020751B">
      <w:pPr>
        <w:rPr>
          <w:sz w:val="22"/>
          <w:szCs w:val="22"/>
        </w:rPr>
      </w:pPr>
      <w:r>
        <w:rPr>
          <w:b/>
          <w:sz w:val="22"/>
          <w:szCs w:val="22"/>
        </w:rPr>
        <w:t>Questions:</w:t>
      </w:r>
      <w:r>
        <w:rPr>
          <w:b/>
          <w:sz w:val="22"/>
          <w:szCs w:val="22"/>
        </w:rPr>
        <w:br/>
      </w:r>
      <w:r>
        <w:rPr>
          <w:sz w:val="22"/>
          <w:szCs w:val="22"/>
        </w:rPr>
        <w:t xml:space="preserve">1.  All of the following are true regarding negative pressure wound therapy </w:t>
      </w:r>
      <w:r w:rsidR="00D50371">
        <w:rPr>
          <w:sz w:val="22"/>
          <w:szCs w:val="22"/>
        </w:rPr>
        <w:t>except</w:t>
      </w:r>
    </w:p>
    <w:p w14:paraId="7CA8650A" w14:textId="77777777" w:rsidR="00D50371" w:rsidRPr="00D50371" w:rsidRDefault="00D50371" w:rsidP="00D50371">
      <w:pPr>
        <w:pStyle w:val="ListParagraph"/>
        <w:numPr>
          <w:ilvl w:val="0"/>
          <w:numId w:val="4"/>
        </w:numPr>
        <w:rPr>
          <w:sz w:val="22"/>
          <w:szCs w:val="22"/>
        </w:rPr>
      </w:pPr>
      <w:r w:rsidRPr="00D50371">
        <w:rPr>
          <w:sz w:val="22"/>
          <w:szCs w:val="22"/>
        </w:rPr>
        <w:t>Granulation tissue appears earlier in wounds managed with negative pressure wound therapy</w:t>
      </w:r>
    </w:p>
    <w:p w14:paraId="63393E05" w14:textId="77777777" w:rsidR="00D50371" w:rsidRDefault="00D50371" w:rsidP="00D50371">
      <w:pPr>
        <w:pStyle w:val="ListParagraph"/>
        <w:numPr>
          <w:ilvl w:val="0"/>
          <w:numId w:val="4"/>
        </w:numPr>
        <w:rPr>
          <w:sz w:val="22"/>
          <w:szCs w:val="22"/>
        </w:rPr>
      </w:pPr>
      <w:r>
        <w:rPr>
          <w:sz w:val="22"/>
          <w:szCs w:val="22"/>
        </w:rPr>
        <w:t>Granulation tissue is less exuberant when NPWT is applied</w:t>
      </w:r>
    </w:p>
    <w:p w14:paraId="260D3CBB" w14:textId="77777777" w:rsidR="00D50371" w:rsidRDefault="00D50371" w:rsidP="00D50371">
      <w:pPr>
        <w:pStyle w:val="ListParagraph"/>
        <w:numPr>
          <w:ilvl w:val="0"/>
          <w:numId w:val="4"/>
        </w:numPr>
        <w:rPr>
          <w:sz w:val="22"/>
          <w:szCs w:val="22"/>
        </w:rPr>
      </w:pPr>
      <w:r>
        <w:rPr>
          <w:sz w:val="22"/>
          <w:szCs w:val="22"/>
        </w:rPr>
        <w:t xml:space="preserve">Loss of negative pressure for prolonged periods of time converts the wound to an occlusive environment </w:t>
      </w:r>
    </w:p>
    <w:p w14:paraId="64DF8F86" w14:textId="77777777" w:rsidR="00D50371" w:rsidRDefault="00D50371" w:rsidP="00D50371">
      <w:pPr>
        <w:pStyle w:val="ListParagraph"/>
        <w:numPr>
          <w:ilvl w:val="0"/>
          <w:numId w:val="4"/>
        </w:numPr>
        <w:rPr>
          <w:sz w:val="22"/>
          <w:szCs w:val="22"/>
        </w:rPr>
      </w:pPr>
      <w:r>
        <w:rPr>
          <w:sz w:val="22"/>
          <w:szCs w:val="22"/>
        </w:rPr>
        <w:t>CON wounds had more bacterial contamination than NPWT wounds</w:t>
      </w:r>
    </w:p>
    <w:p w14:paraId="3AA4A520" w14:textId="77777777" w:rsidR="003568AB" w:rsidRDefault="00D50371" w:rsidP="00D50371">
      <w:pPr>
        <w:pStyle w:val="ListParagraph"/>
        <w:numPr>
          <w:ilvl w:val="0"/>
          <w:numId w:val="4"/>
        </w:numPr>
        <w:rPr>
          <w:sz w:val="22"/>
          <w:szCs w:val="22"/>
        </w:rPr>
      </w:pPr>
      <w:r>
        <w:rPr>
          <w:sz w:val="22"/>
          <w:szCs w:val="22"/>
        </w:rPr>
        <w:t>A longer timer interval is permitted between NPWT bandage changes than CON bandage changes</w:t>
      </w:r>
    </w:p>
    <w:p w14:paraId="38F00B20" w14:textId="77777777" w:rsid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p>
    <w:p w14:paraId="6BE7A762" w14:textId="77777777" w:rsid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p>
    <w:p w14:paraId="310D55DC" w14:textId="77777777" w:rsid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17"/>
          <w:szCs w:val="17"/>
        </w:rPr>
      </w:pPr>
    </w:p>
    <w:p w14:paraId="67A3AB1E" w14:textId="0CE881B5" w:rsid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35"/>
          <w:szCs w:val="35"/>
        </w:rPr>
      </w:pPr>
      <w:r>
        <w:rPr>
          <w:rFonts w:ascii="Times" w:hAnsi="Times" w:cs="Times"/>
          <w:color w:val="000000"/>
          <w:sz w:val="35"/>
          <w:szCs w:val="35"/>
        </w:rPr>
        <w:t>Treatment of Neonatal Sepsis with Intravenous Immune Globulin</w:t>
      </w:r>
    </w:p>
    <w:p w14:paraId="4EC4AE22" w14:textId="77AFE542" w:rsidR="003568AB" w:rsidRP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28"/>
          <w:szCs w:val="28"/>
        </w:rPr>
      </w:pPr>
      <w:r>
        <w:rPr>
          <w:rFonts w:ascii="Times" w:hAnsi="Times" w:cs="Times"/>
          <w:color w:val="000000"/>
          <w:sz w:val="35"/>
          <w:szCs w:val="35"/>
        </w:rPr>
        <w:t xml:space="preserve">The INIS </w:t>
      </w:r>
      <w:r>
        <w:rPr>
          <w:rFonts w:ascii="Times" w:hAnsi="Times" w:cs="Times"/>
          <w:color w:val="000000"/>
          <w:sz w:val="28"/>
          <w:szCs w:val="28"/>
        </w:rPr>
        <w:t>Collaborative Group</w:t>
      </w:r>
    </w:p>
    <w:p w14:paraId="3B7CBDB5" w14:textId="77777777" w:rsidR="003568AB" w:rsidRP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22"/>
          <w:szCs w:val="22"/>
        </w:rPr>
      </w:pPr>
      <w:r w:rsidRPr="003568AB">
        <w:rPr>
          <w:rFonts w:ascii="Helvetica" w:hAnsi="Helvetica" w:cs="Helvetica"/>
          <w:color w:val="E5001C"/>
          <w:sz w:val="22"/>
          <w:szCs w:val="22"/>
        </w:rPr>
        <w:t>Background</w:t>
      </w:r>
    </w:p>
    <w:p w14:paraId="3B86ABCF" w14:textId="00A227F8" w:rsidR="003568AB" w:rsidRP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2"/>
          <w:szCs w:val="22"/>
        </w:rPr>
      </w:pPr>
      <w:r w:rsidRPr="003568AB">
        <w:rPr>
          <w:rFonts w:ascii="Times" w:hAnsi="Times" w:cs="Times"/>
          <w:color w:val="000000"/>
          <w:sz w:val="22"/>
          <w:szCs w:val="22"/>
        </w:rPr>
        <w:t>Neonatal sepsis is a major cause of death and complications despite antibiot</w:t>
      </w:r>
      <w:r>
        <w:rPr>
          <w:rFonts w:ascii="Times" w:hAnsi="Times" w:cs="Times"/>
          <w:color w:val="000000"/>
          <w:sz w:val="22"/>
          <w:szCs w:val="22"/>
        </w:rPr>
        <w:t>ic treat</w:t>
      </w:r>
      <w:r w:rsidRPr="003568AB">
        <w:rPr>
          <w:rFonts w:ascii="Times" w:hAnsi="Times" w:cs="Times"/>
          <w:color w:val="000000"/>
          <w:sz w:val="22"/>
          <w:szCs w:val="22"/>
        </w:rPr>
        <w:t>ment. Effective adjunctive treatments are needed. Newborn infants are relatively deficient in endogenous immunoglobulin. Meta-analyses of trials of intravenous immune globulin for suspected or proven neonatal sepsis suggest a reduced rate of death from any cause, but the trials have been small and have varied in quality.</w:t>
      </w:r>
    </w:p>
    <w:p w14:paraId="387A02FC" w14:textId="77777777" w:rsidR="003568AB" w:rsidRP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22"/>
          <w:szCs w:val="22"/>
        </w:rPr>
      </w:pPr>
      <w:r w:rsidRPr="003568AB">
        <w:rPr>
          <w:rFonts w:ascii="Helvetica" w:hAnsi="Helvetica" w:cs="Helvetica"/>
          <w:color w:val="E5001C"/>
          <w:sz w:val="22"/>
          <w:szCs w:val="22"/>
        </w:rPr>
        <w:t>Methods</w:t>
      </w:r>
    </w:p>
    <w:p w14:paraId="3BD14EC5" w14:textId="2FB41709" w:rsidR="003568AB" w:rsidRP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2"/>
          <w:szCs w:val="22"/>
        </w:rPr>
      </w:pPr>
      <w:r w:rsidRPr="003568AB">
        <w:rPr>
          <w:rFonts w:ascii="Times" w:hAnsi="Times" w:cs="Times"/>
          <w:color w:val="000000"/>
          <w:sz w:val="22"/>
          <w:szCs w:val="22"/>
        </w:rPr>
        <w:t xml:space="preserve">At 113 hospitals in nine countries, we enrolled 3493 infants receiving antibiotics for suspected or proven serious infection and randomly assigned them to receive two infusions of either polyvalent </w:t>
      </w:r>
      <w:proofErr w:type="spellStart"/>
      <w:r w:rsidRPr="003568AB">
        <w:rPr>
          <w:rFonts w:ascii="Times" w:hAnsi="Times" w:cs="Times"/>
          <w:color w:val="000000"/>
          <w:sz w:val="22"/>
          <w:szCs w:val="22"/>
        </w:rPr>
        <w:t>IgG</w:t>
      </w:r>
      <w:proofErr w:type="spellEnd"/>
      <w:r w:rsidRPr="003568AB">
        <w:rPr>
          <w:rFonts w:ascii="Times" w:hAnsi="Times" w:cs="Times"/>
          <w:color w:val="000000"/>
          <w:sz w:val="22"/>
          <w:szCs w:val="22"/>
        </w:rPr>
        <w:t xml:space="preserve"> immune globulin</w:t>
      </w:r>
      <w:r>
        <w:rPr>
          <w:rFonts w:ascii="Times" w:hAnsi="Times" w:cs="Times"/>
          <w:color w:val="000000"/>
          <w:sz w:val="22"/>
          <w:szCs w:val="22"/>
        </w:rPr>
        <w:t xml:space="preserve"> (at a dose of 500 mg per kilo</w:t>
      </w:r>
      <w:r w:rsidRPr="003568AB">
        <w:rPr>
          <w:rFonts w:ascii="Times" w:hAnsi="Times" w:cs="Times"/>
          <w:color w:val="000000"/>
          <w:sz w:val="22"/>
          <w:szCs w:val="22"/>
        </w:rPr>
        <w:t>gram of body weight) or matching placebo 48 hours apart. The primary outcome was death or major disability at the age of 2 years.</w:t>
      </w:r>
    </w:p>
    <w:p w14:paraId="67C7B182" w14:textId="77777777" w:rsidR="003568AB" w:rsidRP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22"/>
          <w:szCs w:val="22"/>
        </w:rPr>
      </w:pPr>
      <w:r w:rsidRPr="003568AB">
        <w:rPr>
          <w:rFonts w:ascii="Helvetica" w:hAnsi="Helvetica" w:cs="Helvetica"/>
          <w:color w:val="E5001C"/>
          <w:sz w:val="22"/>
          <w:szCs w:val="22"/>
        </w:rPr>
        <w:t>Results</w:t>
      </w:r>
    </w:p>
    <w:p w14:paraId="72F1AF2D" w14:textId="701FCEAE" w:rsidR="003568AB" w:rsidRP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2"/>
          <w:szCs w:val="22"/>
        </w:rPr>
      </w:pPr>
      <w:r w:rsidRPr="003568AB">
        <w:rPr>
          <w:rFonts w:ascii="Times" w:hAnsi="Times" w:cs="Times"/>
          <w:color w:val="000000"/>
          <w:sz w:val="22"/>
          <w:szCs w:val="22"/>
        </w:rPr>
        <w:t>There was no significant between-group difference i</w:t>
      </w:r>
      <w:r>
        <w:rPr>
          <w:rFonts w:ascii="Times" w:hAnsi="Times" w:cs="Times"/>
          <w:color w:val="000000"/>
          <w:sz w:val="22"/>
          <w:szCs w:val="22"/>
        </w:rPr>
        <w:t>n the rates of the primary out</w:t>
      </w:r>
      <w:r w:rsidRPr="003568AB">
        <w:rPr>
          <w:rFonts w:ascii="Times" w:hAnsi="Times" w:cs="Times"/>
          <w:color w:val="000000"/>
          <w:sz w:val="22"/>
          <w:szCs w:val="22"/>
        </w:rPr>
        <w:t>come, which occurred in 686 of 1759 infants (39.0%) who received intravenous immune globulin and in 677 of 1734 infants (39.0%) who received placebo (relative risk, 1.00; 95% confidence interval, 0.92 to 1.08). Similarly, there were no significant differences in the rates of secondary outcomes, including the incidence of subsequent sepsis episodes. In follow-up of 2-year-old infants, th</w:t>
      </w:r>
      <w:r>
        <w:rPr>
          <w:rFonts w:ascii="Times" w:hAnsi="Times" w:cs="Times"/>
          <w:color w:val="000000"/>
          <w:sz w:val="22"/>
          <w:szCs w:val="22"/>
        </w:rPr>
        <w:t>ere were no significant differ</w:t>
      </w:r>
      <w:r w:rsidRPr="003568AB">
        <w:rPr>
          <w:rFonts w:ascii="Times" w:hAnsi="Times" w:cs="Times"/>
          <w:color w:val="000000"/>
          <w:sz w:val="22"/>
          <w:szCs w:val="22"/>
        </w:rPr>
        <w:t xml:space="preserve">ences in the rates of major or </w:t>
      </w:r>
      <w:proofErr w:type="spellStart"/>
      <w:r w:rsidRPr="003568AB">
        <w:rPr>
          <w:rFonts w:ascii="Times" w:hAnsi="Times" w:cs="Times"/>
          <w:color w:val="000000"/>
          <w:sz w:val="22"/>
          <w:szCs w:val="22"/>
        </w:rPr>
        <w:t>nonmajor</w:t>
      </w:r>
      <w:proofErr w:type="spellEnd"/>
      <w:r w:rsidRPr="003568AB">
        <w:rPr>
          <w:rFonts w:ascii="Times" w:hAnsi="Times" w:cs="Times"/>
          <w:color w:val="000000"/>
          <w:sz w:val="22"/>
          <w:szCs w:val="22"/>
        </w:rPr>
        <w:t xml:space="preserve"> disability or of adverse events.</w:t>
      </w:r>
    </w:p>
    <w:p w14:paraId="3CDA4137" w14:textId="77777777" w:rsidR="003568AB" w:rsidRPr="003568AB" w:rsidRDefault="003568AB" w:rsidP="003568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E5001C"/>
          <w:sz w:val="22"/>
          <w:szCs w:val="22"/>
        </w:rPr>
      </w:pPr>
      <w:r w:rsidRPr="003568AB">
        <w:rPr>
          <w:rFonts w:ascii="Helvetica" w:hAnsi="Helvetica" w:cs="Helvetica"/>
          <w:color w:val="E5001C"/>
          <w:sz w:val="22"/>
          <w:szCs w:val="22"/>
        </w:rPr>
        <w:t>Conclusions</w:t>
      </w:r>
    </w:p>
    <w:p w14:paraId="6F91ED5B" w14:textId="77FEFDFB" w:rsidR="00E54CFF" w:rsidRDefault="003568AB" w:rsidP="003568AB">
      <w:pPr>
        <w:rPr>
          <w:sz w:val="22"/>
          <w:szCs w:val="22"/>
        </w:rPr>
      </w:pPr>
      <w:r w:rsidRPr="003568AB">
        <w:rPr>
          <w:rFonts w:ascii="Times" w:hAnsi="Times" w:cs="Times"/>
          <w:color w:val="000000"/>
          <w:sz w:val="22"/>
          <w:szCs w:val="22"/>
        </w:rPr>
        <w:t>Therapy with intravenous immune globulin had no</w:t>
      </w:r>
      <w:r>
        <w:rPr>
          <w:rFonts w:ascii="Times" w:hAnsi="Times" w:cs="Times"/>
          <w:color w:val="000000"/>
          <w:sz w:val="22"/>
          <w:szCs w:val="22"/>
        </w:rPr>
        <w:t xml:space="preserve"> effect on the outcomes of sus</w:t>
      </w:r>
      <w:r w:rsidRPr="003568AB">
        <w:rPr>
          <w:rFonts w:ascii="Times" w:hAnsi="Times" w:cs="Times"/>
          <w:color w:val="000000"/>
          <w:sz w:val="22"/>
          <w:szCs w:val="22"/>
        </w:rPr>
        <w:t>pected or proven neonatal sepsis.</w:t>
      </w:r>
      <w:r w:rsidR="00FF759B" w:rsidRPr="003568AB">
        <w:rPr>
          <w:sz w:val="22"/>
          <w:szCs w:val="22"/>
        </w:rPr>
        <w:br/>
      </w:r>
    </w:p>
    <w:p w14:paraId="12C91E40" w14:textId="77777777" w:rsidR="00FA0518" w:rsidRDefault="00FA0518" w:rsidP="003568AB">
      <w:pPr>
        <w:rPr>
          <w:sz w:val="22"/>
          <w:szCs w:val="22"/>
        </w:rPr>
      </w:pPr>
    </w:p>
    <w:p w14:paraId="489A29AF" w14:textId="2BC93F31" w:rsidR="00FA0518" w:rsidRDefault="00FA0518" w:rsidP="003568AB">
      <w:pPr>
        <w:rPr>
          <w:b/>
          <w:sz w:val="22"/>
          <w:szCs w:val="22"/>
        </w:rPr>
      </w:pPr>
      <w:r>
        <w:rPr>
          <w:b/>
          <w:sz w:val="22"/>
          <w:szCs w:val="22"/>
        </w:rPr>
        <w:t>Take-Home:</w:t>
      </w:r>
    </w:p>
    <w:p w14:paraId="5D3DED66" w14:textId="12C317FF" w:rsidR="00FA0518" w:rsidRPr="00FA0518" w:rsidRDefault="00FA0518" w:rsidP="00FA0518">
      <w:pPr>
        <w:pStyle w:val="ListParagraph"/>
        <w:numPr>
          <w:ilvl w:val="0"/>
          <w:numId w:val="5"/>
        </w:numPr>
        <w:rPr>
          <w:sz w:val="22"/>
          <w:szCs w:val="22"/>
        </w:rPr>
      </w:pPr>
      <w:r w:rsidRPr="00FA0518">
        <w:rPr>
          <w:sz w:val="22"/>
          <w:szCs w:val="22"/>
        </w:rPr>
        <w:t>Therapy with intravenous immune globulin had no effect on outcome of neonatal sepsis.</w:t>
      </w:r>
    </w:p>
    <w:p w14:paraId="628A0C2C" w14:textId="77777777" w:rsidR="00FA0518" w:rsidRDefault="00FA0518" w:rsidP="00FA0518">
      <w:pPr>
        <w:rPr>
          <w:sz w:val="22"/>
          <w:szCs w:val="22"/>
        </w:rPr>
      </w:pPr>
    </w:p>
    <w:p w14:paraId="39373201" w14:textId="5752DB75" w:rsidR="00FA0518" w:rsidRDefault="00FA0518" w:rsidP="00FA0518">
      <w:pPr>
        <w:rPr>
          <w:b/>
          <w:sz w:val="22"/>
          <w:szCs w:val="22"/>
        </w:rPr>
      </w:pPr>
      <w:r>
        <w:rPr>
          <w:b/>
          <w:sz w:val="22"/>
          <w:szCs w:val="22"/>
        </w:rPr>
        <w:t>Questions:</w:t>
      </w:r>
    </w:p>
    <w:p w14:paraId="15862C01" w14:textId="79EEDFB8" w:rsidR="00FA0518" w:rsidRPr="00B91AC7" w:rsidRDefault="00B91AC7" w:rsidP="00B91AC7">
      <w:pPr>
        <w:pStyle w:val="ListParagraph"/>
        <w:numPr>
          <w:ilvl w:val="0"/>
          <w:numId w:val="6"/>
        </w:numPr>
        <w:rPr>
          <w:sz w:val="22"/>
          <w:szCs w:val="22"/>
        </w:rPr>
      </w:pPr>
      <w:r w:rsidRPr="00B91AC7">
        <w:rPr>
          <w:sz w:val="22"/>
          <w:szCs w:val="22"/>
        </w:rPr>
        <w:t>True/False: Newborns are relatively deficient in endogenous immunoglobulin</w:t>
      </w:r>
    </w:p>
    <w:p w14:paraId="2FCD655E" w14:textId="1A36B8D0" w:rsidR="00B91AC7" w:rsidRDefault="00B91AC7" w:rsidP="00B91AC7">
      <w:pPr>
        <w:pStyle w:val="ListParagraph"/>
        <w:numPr>
          <w:ilvl w:val="0"/>
          <w:numId w:val="6"/>
        </w:numPr>
        <w:rPr>
          <w:sz w:val="22"/>
          <w:szCs w:val="22"/>
        </w:rPr>
      </w:pPr>
      <w:r>
        <w:rPr>
          <w:sz w:val="22"/>
          <w:szCs w:val="22"/>
        </w:rPr>
        <w:t>True/False: Therapy with intravenous immune globulin significantly reduced mortality rates in the INIS Collaborative Group neonatal sepsis trial</w:t>
      </w:r>
    </w:p>
    <w:p w14:paraId="5B9A66E3" w14:textId="77777777" w:rsidR="0076477D" w:rsidRDefault="0076477D" w:rsidP="0076477D">
      <w:pPr>
        <w:rPr>
          <w:sz w:val="22"/>
          <w:szCs w:val="22"/>
        </w:rPr>
      </w:pPr>
    </w:p>
    <w:p w14:paraId="6D1051F2" w14:textId="77777777" w:rsidR="0076477D" w:rsidRDefault="0076477D" w:rsidP="0076477D">
      <w:pPr>
        <w:rPr>
          <w:sz w:val="22"/>
          <w:szCs w:val="22"/>
        </w:rPr>
      </w:pPr>
    </w:p>
    <w:p w14:paraId="501A6F06" w14:textId="77777777" w:rsidR="0076477D" w:rsidRDefault="0076477D" w:rsidP="0076477D">
      <w:pPr>
        <w:widowControl w:val="0"/>
        <w:autoSpaceDE w:val="0"/>
        <w:autoSpaceDN w:val="0"/>
        <w:adjustRightInd w:val="0"/>
        <w:spacing w:line="480" w:lineRule="atLeast"/>
        <w:rPr>
          <w:rFonts w:ascii="Times New Roman" w:hAnsi="Times New Roman" w:cs="Times New Roman"/>
          <w:sz w:val="46"/>
          <w:szCs w:val="46"/>
        </w:rPr>
      </w:pPr>
      <w:r>
        <w:rPr>
          <w:rFonts w:ascii="Times New Roman" w:hAnsi="Times New Roman" w:cs="Times New Roman"/>
          <w:sz w:val="46"/>
          <w:szCs w:val="46"/>
        </w:rPr>
        <w:t>Early versus Later Rhythm Analysis in Patients with Out-of-Hospital Cardiac Arrest</w:t>
      </w:r>
    </w:p>
    <w:p w14:paraId="21220755" w14:textId="77777777" w:rsidR="0076477D" w:rsidRDefault="0076477D" w:rsidP="0076477D">
      <w:pPr>
        <w:widowControl w:val="0"/>
        <w:autoSpaceDE w:val="0"/>
        <w:autoSpaceDN w:val="0"/>
        <w:adjustRightInd w:val="0"/>
        <w:spacing w:line="320" w:lineRule="atLeast"/>
        <w:rPr>
          <w:rFonts w:ascii="Arial" w:hAnsi="Arial" w:cs="Arial"/>
          <w:color w:val="535353"/>
          <w:sz w:val="22"/>
          <w:szCs w:val="22"/>
        </w:rPr>
      </w:pPr>
      <w:r>
        <w:rPr>
          <w:rFonts w:ascii="Arial" w:hAnsi="Arial" w:cs="Arial"/>
          <w:color w:val="535353"/>
          <w:sz w:val="22"/>
          <w:szCs w:val="22"/>
        </w:rPr>
        <w:t xml:space="preserve">Ian G. </w:t>
      </w:r>
      <w:proofErr w:type="spellStart"/>
      <w:r>
        <w:rPr>
          <w:rFonts w:ascii="Arial" w:hAnsi="Arial" w:cs="Arial"/>
          <w:color w:val="535353"/>
          <w:sz w:val="22"/>
          <w:szCs w:val="22"/>
        </w:rPr>
        <w:t>Stiell</w:t>
      </w:r>
      <w:proofErr w:type="spellEnd"/>
      <w:r>
        <w:rPr>
          <w:rFonts w:ascii="Arial" w:hAnsi="Arial" w:cs="Arial"/>
          <w:color w:val="535353"/>
          <w:sz w:val="22"/>
          <w:szCs w:val="22"/>
        </w:rPr>
        <w:t xml:space="preserve">, M.D., Graham Nichol, M.D., M.P.H., Brian G. </w:t>
      </w:r>
      <w:proofErr w:type="spellStart"/>
      <w:r>
        <w:rPr>
          <w:rFonts w:ascii="Arial" w:hAnsi="Arial" w:cs="Arial"/>
          <w:color w:val="535353"/>
          <w:sz w:val="22"/>
          <w:szCs w:val="22"/>
        </w:rPr>
        <w:t>Leroux</w:t>
      </w:r>
      <w:proofErr w:type="spellEnd"/>
      <w:r>
        <w:rPr>
          <w:rFonts w:ascii="Arial" w:hAnsi="Arial" w:cs="Arial"/>
          <w:color w:val="535353"/>
          <w:sz w:val="22"/>
          <w:szCs w:val="22"/>
        </w:rPr>
        <w:t xml:space="preserve">, Ph.D., Thomas D. Rea, M.D., M.P.H., Joseph P. </w:t>
      </w:r>
      <w:proofErr w:type="spellStart"/>
      <w:r>
        <w:rPr>
          <w:rFonts w:ascii="Arial" w:hAnsi="Arial" w:cs="Arial"/>
          <w:color w:val="535353"/>
          <w:sz w:val="22"/>
          <w:szCs w:val="22"/>
        </w:rPr>
        <w:t>Ornato</w:t>
      </w:r>
      <w:proofErr w:type="spellEnd"/>
      <w:r>
        <w:rPr>
          <w:rFonts w:ascii="Arial" w:hAnsi="Arial" w:cs="Arial"/>
          <w:color w:val="535353"/>
          <w:sz w:val="22"/>
          <w:szCs w:val="22"/>
        </w:rPr>
        <w:t xml:space="preserve">, M.D., Judy Powell, B.S.N., James Christenson, M.D., Clifton W. Callaway, M.D., Ph.D., Peter J. </w:t>
      </w:r>
      <w:proofErr w:type="spellStart"/>
      <w:r>
        <w:rPr>
          <w:rFonts w:ascii="Arial" w:hAnsi="Arial" w:cs="Arial"/>
          <w:color w:val="535353"/>
          <w:sz w:val="22"/>
          <w:szCs w:val="22"/>
        </w:rPr>
        <w:t>Kudenchuk</w:t>
      </w:r>
      <w:proofErr w:type="spellEnd"/>
      <w:r>
        <w:rPr>
          <w:rFonts w:ascii="Arial" w:hAnsi="Arial" w:cs="Arial"/>
          <w:color w:val="535353"/>
          <w:sz w:val="22"/>
          <w:szCs w:val="22"/>
        </w:rPr>
        <w:t xml:space="preserve">, M.D., Tom P. </w:t>
      </w:r>
      <w:proofErr w:type="spellStart"/>
      <w:r>
        <w:rPr>
          <w:rFonts w:ascii="Arial" w:hAnsi="Arial" w:cs="Arial"/>
          <w:color w:val="535353"/>
          <w:sz w:val="22"/>
          <w:szCs w:val="22"/>
        </w:rPr>
        <w:t>Aufderheide</w:t>
      </w:r>
      <w:proofErr w:type="spellEnd"/>
      <w:r>
        <w:rPr>
          <w:rFonts w:ascii="Arial" w:hAnsi="Arial" w:cs="Arial"/>
          <w:color w:val="535353"/>
          <w:sz w:val="22"/>
          <w:szCs w:val="22"/>
        </w:rPr>
        <w:t xml:space="preserve">, M.D., </w:t>
      </w:r>
      <w:proofErr w:type="spellStart"/>
      <w:r>
        <w:rPr>
          <w:rFonts w:ascii="Arial" w:hAnsi="Arial" w:cs="Arial"/>
          <w:color w:val="535353"/>
          <w:sz w:val="22"/>
          <w:szCs w:val="22"/>
        </w:rPr>
        <w:t>Ahamed</w:t>
      </w:r>
      <w:proofErr w:type="spellEnd"/>
      <w:r>
        <w:rPr>
          <w:rFonts w:ascii="Arial" w:hAnsi="Arial" w:cs="Arial"/>
          <w:color w:val="535353"/>
          <w:sz w:val="22"/>
          <w:szCs w:val="22"/>
        </w:rPr>
        <w:t xml:space="preserve"> H. </w:t>
      </w:r>
      <w:proofErr w:type="spellStart"/>
      <w:r>
        <w:rPr>
          <w:rFonts w:ascii="Arial" w:hAnsi="Arial" w:cs="Arial"/>
          <w:color w:val="535353"/>
          <w:sz w:val="22"/>
          <w:szCs w:val="22"/>
        </w:rPr>
        <w:t>Idris</w:t>
      </w:r>
      <w:proofErr w:type="spellEnd"/>
      <w:r>
        <w:rPr>
          <w:rFonts w:ascii="Arial" w:hAnsi="Arial" w:cs="Arial"/>
          <w:color w:val="535353"/>
          <w:sz w:val="22"/>
          <w:szCs w:val="22"/>
        </w:rPr>
        <w:t xml:space="preserve">, M.D., </w:t>
      </w:r>
      <w:proofErr w:type="spellStart"/>
      <w:r>
        <w:rPr>
          <w:rFonts w:ascii="Arial" w:hAnsi="Arial" w:cs="Arial"/>
          <w:color w:val="535353"/>
          <w:sz w:val="22"/>
          <w:szCs w:val="22"/>
        </w:rPr>
        <w:t>Mohamud</w:t>
      </w:r>
      <w:proofErr w:type="spellEnd"/>
      <w:r>
        <w:rPr>
          <w:rFonts w:ascii="Arial" w:hAnsi="Arial" w:cs="Arial"/>
          <w:color w:val="535353"/>
          <w:sz w:val="22"/>
          <w:szCs w:val="22"/>
        </w:rPr>
        <w:t xml:space="preserve"> R. </w:t>
      </w:r>
      <w:proofErr w:type="spellStart"/>
      <w:r>
        <w:rPr>
          <w:rFonts w:ascii="Arial" w:hAnsi="Arial" w:cs="Arial"/>
          <w:color w:val="535353"/>
          <w:sz w:val="22"/>
          <w:szCs w:val="22"/>
        </w:rPr>
        <w:t>Daya</w:t>
      </w:r>
      <w:proofErr w:type="spellEnd"/>
      <w:r>
        <w:rPr>
          <w:rFonts w:ascii="Arial" w:hAnsi="Arial" w:cs="Arial"/>
          <w:color w:val="535353"/>
          <w:sz w:val="22"/>
          <w:szCs w:val="22"/>
        </w:rPr>
        <w:t xml:space="preserve">, M.D., Henry E. Wang, M.D., Laurie J. Morrison, M.D., Daniel Davis, M.D., Douglas </w:t>
      </w:r>
      <w:proofErr w:type="spellStart"/>
      <w:r>
        <w:rPr>
          <w:rFonts w:ascii="Arial" w:hAnsi="Arial" w:cs="Arial"/>
          <w:color w:val="535353"/>
          <w:sz w:val="22"/>
          <w:szCs w:val="22"/>
        </w:rPr>
        <w:t>Andrusiek</w:t>
      </w:r>
      <w:proofErr w:type="spellEnd"/>
      <w:r>
        <w:rPr>
          <w:rFonts w:ascii="Arial" w:hAnsi="Arial" w:cs="Arial"/>
          <w:color w:val="535353"/>
          <w:sz w:val="22"/>
          <w:szCs w:val="22"/>
        </w:rPr>
        <w:t xml:space="preserve">, M.Sc., Shannon Stephens, E.M.T.-P., Sheldon </w:t>
      </w:r>
      <w:proofErr w:type="spellStart"/>
      <w:r>
        <w:rPr>
          <w:rFonts w:ascii="Arial" w:hAnsi="Arial" w:cs="Arial"/>
          <w:color w:val="535353"/>
          <w:sz w:val="22"/>
          <w:szCs w:val="22"/>
        </w:rPr>
        <w:t>Cheskes</w:t>
      </w:r>
      <w:proofErr w:type="spellEnd"/>
      <w:r>
        <w:rPr>
          <w:rFonts w:ascii="Arial" w:hAnsi="Arial" w:cs="Arial"/>
          <w:color w:val="535353"/>
          <w:sz w:val="22"/>
          <w:szCs w:val="22"/>
        </w:rPr>
        <w:t xml:space="preserve">, M.D., Robert H. </w:t>
      </w:r>
      <w:proofErr w:type="spellStart"/>
      <w:r>
        <w:rPr>
          <w:rFonts w:ascii="Arial" w:hAnsi="Arial" w:cs="Arial"/>
          <w:color w:val="535353"/>
          <w:sz w:val="22"/>
          <w:szCs w:val="22"/>
        </w:rPr>
        <w:t>Schmicker</w:t>
      </w:r>
      <w:proofErr w:type="spellEnd"/>
      <w:r>
        <w:rPr>
          <w:rFonts w:ascii="Arial" w:hAnsi="Arial" w:cs="Arial"/>
          <w:color w:val="535353"/>
          <w:sz w:val="22"/>
          <w:szCs w:val="22"/>
        </w:rPr>
        <w:t xml:space="preserve">, M.S., Ray Fowler, M.D., Christian </w:t>
      </w:r>
      <w:proofErr w:type="spellStart"/>
      <w:r>
        <w:rPr>
          <w:rFonts w:ascii="Arial" w:hAnsi="Arial" w:cs="Arial"/>
          <w:color w:val="535353"/>
          <w:sz w:val="22"/>
          <w:szCs w:val="22"/>
        </w:rPr>
        <w:t>Vaillancourt</w:t>
      </w:r>
      <w:proofErr w:type="spellEnd"/>
      <w:r>
        <w:rPr>
          <w:rFonts w:ascii="Arial" w:hAnsi="Arial" w:cs="Arial"/>
          <w:color w:val="535353"/>
          <w:sz w:val="22"/>
          <w:szCs w:val="22"/>
        </w:rPr>
        <w:t xml:space="preserve">, M.D., David Hostler, Ph.D., E.M.T.-P., Dana </w:t>
      </w:r>
      <w:proofErr w:type="spellStart"/>
      <w:r>
        <w:rPr>
          <w:rFonts w:ascii="Arial" w:hAnsi="Arial" w:cs="Arial"/>
          <w:color w:val="535353"/>
          <w:sz w:val="22"/>
          <w:szCs w:val="22"/>
        </w:rPr>
        <w:t>Zive</w:t>
      </w:r>
      <w:proofErr w:type="spellEnd"/>
      <w:r>
        <w:rPr>
          <w:rFonts w:ascii="Arial" w:hAnsi="Arial" w:cs="Arial"/>
          <w:color w:val="535353"/>
          <w:sz w:val="22"/>
          <w:szCs w:val="22"/>
        </w:rPr>
        <w:t xml:space="preserve">, M.P.H., Ronald G. </w:t>
      </w:r>
      <w:proofErr w:type="spellStart"/>
      <w:r>
        <w:rPr>
          <w:rFonts w:ascii="Arial" w:hAnsi="Arial" w:cs="Arial"/>
          <w:color w:val="535353"/>
          <w:sz w:val="22"/>
          <w:szCs w:val="22"/>
        </w:rPr>
        <w:t>Pirrallo</w:t>
      </w:r>
      <w:proofErr w:type="spellEnd"/>
      <w:r>
        <w:rPr>
          <w:rFonts w:ascii="Arial" w:hAnsi="Arial" w:cs="Arial"/>
          <w:color w:val="535353"/>
          <w:sz w:val="22"/>
          <w:szCs w:val="22"/>
        </w:rPr>
        <w:t xml:space="preserve">, M.D., M.H.S.A., Gary M. </w:t>
      </w:r>
      <w:proofErr w:type="spellStart"/>
      <w:r>
        <w:rPr>
          <w:rFonts w:ascii="Arial" w:hAnsi="Arial" w:cs="Arial"/>
          <w:color w:val="535353"/>
          <w:sz w:val="22"/>
          <w:szCs w:val="22"/>
        </w:rPr>
        <w:t>Vilke</w:t>
      </w:r>
      <w:proofErr w:type="spellEnd"/>
      <w:r>
        <w:rPr>
          <w:rFonts w:ascii="Arial" w:hAnsi="Arial" w:cs="Arial"/>
          <w:color w:val="535353"/>
          <w:sz w:val="22"/>
          <w:szCs w:val="22"/>
        </w:rPr>
        <w:t xml:space="preserve">, M.D., George </w:t>
      </w:r>
      <w:proofErr w:type="spellStart"/>
      <w:r>
        <w:rPr>
          <w:rFonts w:ascii="Arial" w:hAnsi="Arial" w:cs="Arial"/>
          <w:color w:val="535353"/>
          <w:sz w:val="22"/>
          <w:szCs w:val="22"/>
        </w:rPr>
        <w:t>Sopko</w:t>
      </w:r>
      <w:proofErr w:type="spellEnd"/>
      <w:r>
        <w:rPr>
          <w:rFonts w:ascii="Arial" w:hAnsi="Arial" w:cs="Arial"/>
          <w:color w:val="535353"/>
          <w:sz w:val="22"/>
          <w:szCs w:val="22"/>
        </w:rPr>
        <w:t xml:space="preserve">, M.D., and Myron </w:t>
      </w:r>
      <w:proofErr w:type="spellStart"/>
      <w:r>
        <w:rPr>
          <w:rFonts w:ascii="Arial" w:hAnsi="Arial" w:cs="Arial"/>
          <w:color w:val="535353"/>
          <w:sz w:val="22"/>
          <w:szCs w:val="22"/>
        </w:rPr>
        <w:t>Weisfeldt</w:t>
      </w:r>
      <w:proofErr w:type="spellEnd"/>
      <w:r>
        <w:rPr>
          <w:rFonts w:ascii="Arial" w:hAnsi="Arial" w:cs="Arial"/>
          <w:color w:val="535353"/>
          <w:sz w:val="22"/>
          <w:szCs w:val="22"/>
        </w:rPr>
        <w:t>, M.D. for the ROC Investigators</w:t>
      </w:r>
    </w:p>
    <w:p w14:paraId="5A80F9C8" w14:textId="31800CAA" w:rsidR="0076477D" w:rsidRDefault="0076477D" w:rsidP="0076477D">
      <w:pPr>
        <w:widowControl w:val="0"/>
        <w:autoSpaceDE w:val="0"/>
        <w:autoSpaceDN w:val="0"/>
        <w:adjustRightInd w:val="0"/>
        <w:spacing w:after="80" w:line="320" w:lineRule="atLeast"/>
        <w:rPr>
          <w:rFonts w:ascii="Times" w:hAnsi="Times" w:cs="Arial"/>
          <w:b/>
          <w:bCs/>
          <w:color w:val="262626"/>
          <w:sz w:val="22"/>
          <w:szCs w:val="22"/>
        </w:rPr>
      </w:pPr>
      <w:r>
        <w:rPr>
          <w:rFonts w:ascii="Arial" w:hAnsi="Arial" w:cs="Arial"/>
          <w:color w:val="535353"/>
          <w:sz w:val="22"/>
          <w:szCs w:val="22"/>
        </w:rPr>
        <w:t xml:space="preserve">N </w:t>
      </w:r>
      <w:proofErr w:type="spellStart"/>
      <w:r>
        <w:rPr>
          <w:rFonts w:ascii="Arial" w:hAnsi="Arial" w:cs="Arial"/>
          <w:color w:val="535353"/>
          <w:sz w:val="22"/>
          <w:szCs w:val="22"/>
        </w:rPr>
        <w:t>Engl</w:t>
      </w:r>
      <w:proofErr w:type="spellEnd"/>
      <w:r>
        <w:rPr>
          <w:rFonts w:ascii="Arial" w:hAnsi="Arial" w:cs="Arial"/>
          <w:color w:val="535353"/>
          <w:sz w:val="22"/>
          <w:szCs w:val="22"/>
        </w:rPr>
        <w:t xml:space="preserve"> J Med 2011; 365:787-797</w:t>
      </w:r>
      <w:hyperlink r:id="rId6" w:history="1">
        <w:r>
          <w:rPr>
            <w:rFonts w:ascii="Arial" w:hAnsi="Arial" w:cs="Arial"/>
            <w:color w:val="125383"/>
            <w:sz w:val="22"/>
            <w:szCs w:val="22"/>
          </w:rPr>
          <w:t>September 1, 2011</w:t>
        </w:r>
      </w:hyperlink>
    </w:p>
    <w:p w14:paraId="08142722" w14:textId="77777777" w:rsidR="0076477D" w:rsidRPr="0076477D" w:rsidRDefault="0076477D" w:rsidP="0076477D">
      <w:pPr>
        <w:widowControl w:val="0"/>
        <w:autoSpaceDE w:val="0"/>
        <w:autoSpaceDN w:val="0"/>
        <w:adjustRightInd w:val="0"/>
        <w:spacing w:after="80" w:line="320" w:lineRule="atLeast"/>
        <w:rPr>
          <w:rFonts w:ascii="Times" w:hAnsi="Times" w:cs="Arial"/>
          <w:b/>
          <w:bCs/>
          <w:color w:val="262626"/>
          <w:sz w:val="22"/>
          <w:szCs w:val="22"/>
        </w:rPr>
      </w:pPr>
      <w:r w:rsidRPr="0076477D">
        <w:rPr>
          <w:rFonts w:ascii="Times" w:hAnsi="Times" w:cs="Arial"/>
          <w:b/>
          <w:bCs/>
          <w:color w:val="262626"/>
          <w:sz w:val="22"/>
          <w:szCs w:val="22"/>
        </w:rPr>
        <w:t>BACKGROUND</w:t>
      </w:r>
    </w:p>
    <w:p w14:paraId="679C4697" w14:textId="7EAF03DA" w:rsidR="0076477D" w:rsidRPr="0076477D" w:rsidRDefault="0076477D" w:rsidP="0076477D">
      <w:pPr>
        <w:widowControl w:val="0"/>
        <w:autoSpaceDE w:val="0"/>
        <w:autoSpaceDN w:val="0"/>
        <w:adjustRightInd w:val="0"/>
        <w:spacing w:line="360" w:lineRule="atLeast"/>
        <w:rPr>
          <w:rFonts w:ascii="Times" w:hAnsi="Times" w:cs="Arial"/>
          <w:color w:val="262626"/>
          <w:sz w:val="22"/>
          <w:szCs w:val="22"/>
        </w:rPr>
      </w:pPr>
      <w:r w:rsidRPr="0076477D">
        <w:rPr>
          <w:rFonts w:ascii="Times" w:hAnsi="Times" w:cs="Arial"/>
          <w:color w:val="262626"/>
          <w:sz w:val="22"/>
          <w:szCs w:val="22"/>
        </w:rPr>
        <w:t>In a departure from the previous strategy of immediate defibrillation, the 2005 resuscitation guidelines from the American Heart Association–International Liaison Committee on Resuscitation suggested that emergency medical service (EMS) personnel could provide 2 minutes of cardiopulmonary resuscitation (CPR) before the first analysis of cardiac rhythm. We compared the strategy of a brief period of CPR with early analysis of rhythm with the strategy of a longer period of CPR with delayed analysis of rhythm.</w:t>
      </w:r>
    </w:p>
    <w:p w14:paraId="714CF368" w14:textId="77777777" w:rsidR="0076477D" w:rsidRPr="0076477D" w:rsidRDefault="0076477D" w:rsidP="0076477D">
      <w:pPr>
        <w:widowControl w:val="0"/>
        <w:autoSpaceDE w:val="0"/>
        <w:autoSpaceDN w:val="0"/>
        <w:adjustRightInd w:val="0"/>
        <w:spacing w:line="320" w:lineRule="atLeast"/>
        <w:rPr>
          <w:rFonts w:ascii="Times" w:hAnsi="Times" w:cs="Arial"/>
          <w:color w:val="262626"/>
          <w:sz w:val="22"/>
          <w:szCs w:val="22"/>
        </w:rPr>
      </w:pPr>
    </w:p>
    <w:p w14:paraId="3022D3D8" w14:textId="77777777" w:rsidR="0076477D" w:rsidRPr="0076477D" w:rsidRDefault="0076477D" w:rsidP="0076477D">
      <w:pPr>
        <w:widowControl w:val="0"/>
        <w:autoSpaceDE w:val="0"/>
        <w:autoSpaceDN w:val="0"/>
        <w:adjustRightInd w:val="0"/>
        <w:spacing w:after="80" w:line="320" w:lineRule="atLeast"/>
        <w:rPr>
          <w:rFonts w:ascii="Times" w:hAnsi="Times" w:cs="Arial"/>
          <w:b/>
          <w:bCs/>
          <w:color w:val="262626"/>
          <w:sz w:val="22"/>
          <w:szCs w:val="22"/>
        </w:rPr>
      </w:pPr>
      <w:r w:rsidRPr="0076477D">
        <w:rPr>
          <w:rFonts w:ascii="Times" w:hAnsi="Times" w:cs="Arial"/>
          <w:b/>
          <w:bCs/>
          <w:color w:val="262626"/>
          <w:sz w:val="22"/>
          <w:szCs w:val="22"/>
        </w:rPr>
        <w:t>METHODS</w:t>
      </w:r>
    </w:p>
    <w:p w14:paraId="4325D112" w14:textId="77777777" w:rsidR="0076477D" w:rsidRPr="0076477D" w:rsidRDefault="0076477D" w:rsidP="0076477D">
      <w:pPr>
        <w:widowControl w:val="0"/>
        <w:autoSpaceDE w:val="0"/>
        <w:autoSpaceDN w:val="0"/>
        <w:adjustRightInd w:val="0"/>
        <w:spacing w:line="360" w:lineRule="atLeast"/>
        <w:rPr>
          <w:rFonts w:ascii="Times" w:hAnsi="Times" w:cs="Arial"/>
          <w:color w:val="262626"/>
          <w:sz w:val="22"/>
          <w:szCs w:val="22"/>
        </w:rPr>
      </w:pPr>
      <w:r w:rsidRPr="0076477D">
        <w:rPr>
          <w:rFonts w:ascii="Times" w:hAnsi="Times" w:cs="Arial"/>
          <w:color w:val="262626"/>
          <w:sz w:val="22"/>
          <w:szCs w:val="22"/>
        </w:rPr>
        <w:t>We conducted a cluster-randomized trial involving adults with out-of-hospital cardiac arrest at 10 Resuscitation Outcomes Consortium sites in the United States and Canada. Patients in the early-analysis group were assigned to receive 30 to 60 seconds of EMS-administered CPR and those in the later-analysis group were assigned to receive 180 seconds of CPR, before the initial electrocardiographic analysis. The primary outcome was survival to hospital discharge with satisfactory functional status (a modified Rankin scale score of ≤3, on a scale of 0 to 6, with higher scores indicating greater disability).</w:t>
      </w:r>
    </w:p>
    <w:p w14:paraId="531C9DAD" w14:textId="77777777" w:rsidR="0076477D" w:rsidRPr="0076477D" w:rsidRDefault="0076477D" w:rsidP="0076477D">
      <w:pPr>
        <w:widowControl w:val="0"/>
        <w:autoSpaceDE w:val="0"/>
        <w:autoSpaceDN w:val="0"/>
        <w:adjustRightInd w:val="0"/>
        <w:spacing w:line="320" w:lineRule="atLeast"/>
        <w:rPr>
          <w:rFonts w:ascii="Times" w:hAnsi="Times" w:cs="Arial"/>
          <w:color w:val="262626"/>
          <w:sz w:val="22"/>
          <w:szCs w:val="22"/>
        </w:rPr>
      </w:pPr>
    </w:p>
    <w:p w14:paraId="0BD9C99F" w14:textId="77777777" w:rsidR="0076477D" w:rsidRPr="0076477D" w:rsidRDefault="0076477D" w:rsidP="0076477D">
      <w:pPr>
        <w:widowControl w:val="0"/>
        <w:autoSpaceDE w:val="0"/>
        <w:autoSpaceDN w:val="0"/>
        <w:adjustRightInd w:val="0"/>
        <w:spacing w:after="80" w:line="320" w:lineRule="atLeast"/>
        <w:rPr>
          <w:rFonts w:ascii="Times" w:hAnsi="Times" w:cs="Arial"/>
          <w:b/>
          <w:bCs/>
          <w:color w:val="262626"/>
          <w:sz w:val="22"/>
          <w:szCs w:val="22"/>
        </w:rPr>
      </w:pPr>
      <w:r w:rsidRPr="0076477D">
        <w:rPr>
          <w:rFonts w:ascii="Times" w:hAnsi="Times" w:cs="Arial"/>
          <w:b/>
          <w:bCs/>
          <w:color w:val="262626"/>
          <w:sz w:val="22"/>
          <w:szCs w:val="22"/>
        </w:rPr>
        <w:t>RESULTS</w:t>
      </w:r>
    </w:p>
    <w:p w14:paraId="72360CEA" w14:textId="42881492" w:rsidR="0076477D" w:rsidRPr="0076477D" w:rsidRDefault="0076477D" w:rsidP="0076477D">
      <w:pPr>
        <w:widowControl w:val="0"/>
        <w:autoSpaceDE w:val="0"/>
        <w:autoSpaceDN w:val="0"/>
        <w:adjustRightInd w:val="0"/>
        <w:spacing w:line="360" w:lineRule="atLeast"/>
        <w:rPr>
          <w:rFonts w:ascii="Times" w:hAnsi="Times" w:cs="Arial"/>
          <w:color w:val="262626"/>
          <w:sz w:val="22"/>
          <w:szCs w:val="22"/>
        </w:rPr>
      </w:pPr>
      <w:r w:rsidRPr="0076477D">
        <w:rPr>
          <w:rFonts w:ascii="Times" w:hAnsi="Times" w:cs="Arial"/>
          <w:color w:val="262626"/>
          <w:sz w:val="22"/>
          <w:szCs w:val="22"/>
        </w:rPr>
        <w:t>We included 9933 patients, of whom 5290 were assigned to early analysis of cardiac rhythm and 4643 to later analysis. A total of 273 patients (5.9%) in the later-analysis group and 310 patients (5.9%) in the early-analysis group met the criteria for the primary outcome, with a cluster-adjusted difference of −0.2 percentage points (95% confidence interval, −1.1 to 0.7; P=0.59). Analyses of the data with adjustment for confounding factors, as well as subgroup analyses, also showed no survival benefit for either study group.</w:t>
      </w:r>
    </w:p>
    <w:p w14:paraId="1E9A699E" w14:textId="77777777" w:rsidR="0076477D" w:rsidRPr="0076477D" w:rsidRDefault="0076477D" w:rsidP="0076477D">
      <w:pPr>
        <w:widowControl w:val="0"/>
        <w:autoSpaceDE w:val="0"/>
        <w:autoSpaceDN w:val="0"/>
        <w:adjustRightInd w:val="0"/>
        <w:spacing w:line="320" w:lineRule="atLeast"/>
        <w:rPr>
          <w:rFonts w:ascii="Times" w:hAnsi="Times" w:cs="Arial"/>
          <w:color w:val="262626"/>
          <w:sz w:val="22"/>
          <w:szCs w:val="22"/>
        </w:rPr>
      </w:pPr>
    </w:p>
    <w:p w14:paraId="24D28893" w14:textId="77777777" w:rsidR="0076477D" w:rsidRPr="0076477D" w:rsidRDefault="0076477D" w:rsidP="0076477D">
      <w:pPr>
        <w:widowControl w:val="0"/>
        <w:autoSpaceDE w:val="0"/>
        <w:autoSpaceDN w:val="0"/>
        <w:adjustRightInd w:val="0"/>
        <w:spacing w:after="80" w:line="320" w:lineRule="atLeast"/>
        <w:rPr>
          <w:rFonts w:ascii="Times" w:hAnsi="Times" w:cs="Arial"/>
          <w:b/>
          <w:bCs/>
          <w:color w:val="262626"/>
          <w:sz w:val="22"/>
          <w:szCs w:val="22"/>
        </w:rPr>
      </w:pPr>
      <w:r w:rsidRPr="0076477D">
        <w:rPr>
          <w:rFonts w:ascii="Times" w:hAnsi="Times" w:cs="Arial"/>
          <w:b/>
          <w:bCs/>
          <w:color w:val="262626"/>
          <w:sz w:val="22"/>
          <w:szCs w:val="22"/>
        </w:rPr>
        <w:t>CONCLUSIONS</w:t>
      </w:r>
    </w:p>
    <w:p w14:paraId="53394FDF" w14:textId="77777777" w:rsidR="0076477D" w:rsidRDefault="0076477D" w:rsidP="0076477D">
      <w:pPr>
        <w:rPr>
          <w:rFonts w:ascii="Times" w:hAnsi="Times" w:cs="Arial"/>
          <w:color w:val="262626"/>
          <w:sz w:val="22"/>
          <w:szCs w:val="22"/>
        </w:rPr>
      </w:pPr>
      <w:r w:rsidRPr="0076477D">
        <w:rPr>
          <w:rFonts w:ascii="Times" w:hAnsi="Times" w:cs="Arial"/>
          <w:color w:val="262626"/>
          <w:sz w:val="22"/>
          <w:szCs w:val="22"/>
        </w:rPr>
        <w:t>Among patients who had an out-of-hospital cardiac arrest, we found no difference in the outcomes with a brief period, as compared with a longer period, of EMS-administered CPR before the first analysis of cardiac rhythm.</w:t>
      </w:r>
    </w:p>
    <w:p w14:paraId="724C2D85" w14:textId="77777777" w:rsidR="0076477D" w:rsidRDefault="0076477D" w:rsidP="0076477D">
      <w:pPr>
        <w:rPr>
          <w:rFonts w:ascii="Times" w:hAnsi="Times" w:cs="Arial"/>
          <w:color w:val="262626"/>
          <w:sz w:val="22"/>
          <w:szCs w:val="22"/>
        </w:rPr>
      </w:pPr>
    </w:p>
    <w:p w14:paraId="377AF43D" w14:textId="77777777" w:rsidR="005676EC" w:rsidRDefault="0076477D" w:rsidP="0076477D">
      <w:pPr>
        <w:rPr>
          <w:rFonts w:ascii="Times" w:hAnsi="Times" w:cs="Arial"/>
          <w:b/>
          <w:color w:val="262626"/>
          <w:sz w:val="22"/>
          <w:szCs w:val="22"/>
        </w:rPr>
      </w:pPr>
      <w:r>
        <w:rPr>
          <w:rFonts w:ascii="Times" w:hAnsi="Times" w:cs="Arial"/>
          <w:b/>
          <w:color w:val="262626"/>
          <w:sz w:val="22"/>
          <w:szCs w:val="22"/>
        </w:rPr>
        <w:t>Take Homes:</w:t>
      </w:r>
    </w:p>
    <w:p w14:paraId="24428421" w14:textId="34F9A28E" w:rsidR="005676EC" w:rsidRDefault="005676EC" w:rsidP="0076477D">
      <w:pPr>
        <w:rPr>
          <w:rFonts w:ascii="Times" w:hAnsi="Times" w:cs="Arial"/>
          <w:color w:val="262626"/>
          <w:sz w:val="22"/>
          <w:szCs w:val="22"/>
        </w:rPr>
      </w:pPr>
      <w:r>
        <w:rPr>
          <w:rFonts w:ascii="Times" w:hAnsi="Times" w:cs="Arial"/>
          <w:color w:val="262626"/>
          <w:sz w:val="22"/>
          <w:szCs w:val="22"/>
        </w:rPr>
        <w:t>1.  There is no difference in outcome (discharge from hospital) with a brief period (30-60 seconds) of CPR, as compared with a longer period (180 seconds) of CPR before the first analysis of cardiac rhythm.</w:t>
      </w:r>
    </w:p>
    <w:p w14:paraId="748EE723" w14:textId="2014CBFF" w:rsidR="00E923F4" w:rsidRDefault="005676EC" w:rsidP="0076477D">
      <w:pPr>
        <w:rPr>
          <w:rFonts w:ascii="Times" w:hAnsi="Times" w:cs="Arial"/>
          <w:color w:val="262626"/>
          <w:sz w:val="22"/>
          <w:szCs w:val="22"/>
        </w:rPr>
      </w:pPr>
      <w:r>
        <w:rPr>
          <w:rFonts w:ascii="Times" w:hAnsi="Times" w:cs="Arial"/>
          <w:color w:val="262626"/>
          <w:sz w:val="22"/>
          <w:szCs w:val="22"/>
        </w:rPr>
        <w:t>2.  A</w:t>
      </w:r>
      <w:r w:rsidRPr="005676EC">
        <w:rPr>
          <w:rFonts w:ascii="Times" w:hAnsi="Times" w:cs="Arial"/>
          <w:color w:val="262626"/>
          <w:sz w:val="22"/>
          <w:szCs w:val="22"/>
        </w:rPr>
        <w:t xml:space="preserve"> few minutes of chest compressions may increase myocardial perfusion, thus improving the metabolic state of the cardiac </w:t>
      </w:r>
      <w:proofErr w:type="spellStart"/>
      <w:r w:rsidRPr="005676EC">
        <w:rPr>
          <w:rFonts w:ascii="Times" w:hAnsi="Times" w:cs="Arial"/>
          <w:color w:val="262626"/>
          <w:sz w:val="22"/>
          <w:szCs w:val="22"/>
        </w:rPr>
        <w:t>myocytes</w:t>
      </w:r>
      <w:proofErr w:type="spellEnd"/>
      <w:r w:rsidRPr="005676EC">
        <w:rPr>
          <w:rFonts w:ascii="Times" w:hAnsi="Times" w:cs="Arial"/>
          <w:color w:val="262626"/>
          <w:sz w:val="22"/>
          <w:szCs w:val="22"/>
        </w:rPr>
        <w:t xml:space="preserve"> and enhancing the likelihood of successful defibrillation.</w:t>
      </w:r>
    </w:p>
    <w:p w14:paraId="67DDF1D5" w14:textId="77777777" w:rsidR="005676EC" w:rsidRDefault="005676EC" w:rsidP="0076477D">
      <w:pPr>
        <w:rPr>
          <w:rFonts w:ascii="Times" w:hAnsi="Times" w:cs="Arial"/>
          <w:color w:val="262626"/>
          <w:sz w:val="22"/>
          <w:szCs w:val="22"/>
        </w:rPr>
      </w:pPr>
    </w:p>
    <w:p w14:paraId="489366D3" w14:textId="7EF23F49" w:rsidR="005676EC" w:rsidRPr="005676EC" w:rsidRDefault="005676EC" w:rsidP="0076477D">
      <w:pPr>
        <w:rPr>
          <w:rFonts w:ascii="Times" w:hAnsi="Times" w:cs="Arial"/>
          <w:color w:val="262626"/>
          <w:sz w:val="22"/>
          <w:szCs w:val="22"/>
        </w:rPr>
      </w:pPr>
      <w:r>
        <w:rPr>
          <w:rFonts w:ascii="Times" w:hAnsi="Times" w:cs="Arial"/>
          <w:b/>
          <w:color w:val="262626"/>
          <w:sz w:val="22"/>
          <w:szCs w:val="22"/>
        </w:rPr>
        <w:t>Questions:</w:t>
      </w:r>
      <w:r>
        <w:rPr>
          <w:rFonts w:ascii="Times" w:hAnsi="Times" w:cs="Arial"/>
          <w:b/>
          <w:color w:val="262626"/>
          <w:sz w:val="22"/>
          <w:szCs w:val="22"/>
        </w:rPr>
        <w:br/>
      </w:r>
      <w:r>
        <w:rPr>
          <w:rFonts w:ascii="Times" w:hAnsi="Times" w:cs="Arial"/>
          <w:color w:val="262626"/>
          <w:sz w:val="22"/>
          <w:szCs w:val="22"/>
        </w:rPr>
        <w:t xml:space="preserve">1.  T/F- </w:t>
      </w:r>
      <w:proofErr w:type="spellStart"/>
      <w:r>
        <w:rPr>
          <w:rFonts w:ascii="Times" w:hAnsi="Times" w:cs="Arial"/>
          <w:color w:val="262626"/>
          <w:sz w:val="22"/>
          <w:szCs w:val="22"/>
        </w:rPr>
        <w:t>Stiell</w:t>
      </w:r>
      <w:proofErr w:type="spellEnd"/>
      <w:r>
        <w:rPr>
          <w:rFonts w:ascii="Times" w:hAnsi="Times" w:cs="Arial"/>
          <w:color w:val="262626"/>
          <w:sz w:val="22"/>
          <w:szCs w:val="22"/>
        </w:rPr>
        <w:t xml:space="preserve"> et </w:t>
      </w:r>
      <w:proofErr w:type="spellStart"/>
      <w:r>
        <w:rPr>
          <w:rFonts w:ascii="Times" w:hAnsi="Times" w:cs="Arial"/>
          <w:color w:val="262626"/>
          <w:sz w:val="22"/>
          <w:szCs w:val="22"/>
        </w:rPr>
        <w:t>al’s</w:t>
      </w:r>
      <w:proofErr w:type="spellEnd"/>
      <w:r>
        <w:rPr>
          <w:rFonts w:ascii="Times" w:hAnsi="Times" w:cs="Arial"/>
          <w:color w:val="262626"/>
          <w:sz w:val="22"/>
          <w:szCs w:val="22"/>
        </w:rPr>
        <w:t xml:space="preserve"> study in the New England Journal of Medicine (September 2011) supported the recommendations outlined by the 2005 American Heart Association-International Liaison Committee regarding 2 minutes of CPR prior to rhythm assessment. </w:t>
      </w:r>
      <w:bookmarkStart w:id="0" w:name="_GoBack"/>
      <w:bookmarkEnd w:id="0"/>
    </w:p>
    <w:sectPr w:rsidR="005676EC" w:rsidRPr="005676EC"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C6593"/>
    <w:multiLevelType w:val="hybridMultilevel"/>
    <w:tmpl w:val="64A230F8"/>
    <w:lvl w:ilvl="0" w:tplc="194E44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1F3C25"/>
    <w:multiLevelType w:val="hybridMultilevel"/>
    <w:tmpl w:val="10504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9F5DF1"/>
    <w:multiLevelType w:val="hybridMultilevel"/>
    <w:tmpl w:val="2126F2D8"/>
    <w:lvl w:ilvl="0" w:tplc="DE445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64D1EA7"/>
    <w:multiLevelType w:val="hybridMultilevel"/>
    <w:tmpl w:val="0C6E1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087385"/>
    <w:multiLevelType w:val="hybridMultilevel"/>
    <w:tmpl w:val="F5C4E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7B7ADD"/>
    <w:multiLevelType w:val="hybridMultilevel"/>
    <w:tmpl w:val="FF723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4F1"/>
    <w:rsid w:val="000360EF"/>
    <w:rsid w:val="00103374"/>
    <w:rsid w:val="0020751B"/>
    <w:rsid w:val="00265EE9"/>
    <w:rsid w:val="00356102"/>
    <w:rsid w:val="003568AB"/>
    <w:rsid w:val="004C1D3D"/>
    <w:rsid w:val="00554F55"/>
    <w:rsid w:val="005676EC"/>
    <w:rsid w:val="0076477D"/>
    <w:rsid w:val="008574F1"/>
    <w:rsid w:val="00B91AC7"/>
    <w:rsid w:val="00D46B93"/>
    <w:rsid w:val="00D50371"/>
    <w:rsid w:val="00E54CFF"/>
    <w:rsid w:val="00E923F4"/>
    <w:rsid w:val="00FA0518"/>
    <w:rsid w:val="00FF75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8E2A0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10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nejm.org.proxy.library.cornell.edu/toc/nejm/365/9/"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1878</Words>
  <Characters>10706</Characters>
  <Application>Microsoft Macintosh Word</Application>
  <DocSecurity>0</DocSecurity>
  <Lines>89</Lines>
  <Paragraphs>25</Paragraphs>
  <ScaleCrop>false</ScaleCrop>
  <Company>Cornell University</Company>
  <LinksUpToDate>false</LinksUpToDate>
  <CharactersWithSpaces>12559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4</cp:revision>
  <dcterms:created xsi:type="dcterms:W3CDTF">2011-10-05T15:01:00Z</dcterms:created>
  <dcterms:modified xsi:type="dcterms:W3CDTF">2011-10-06T13:45:00Z</dcterms:modified>
</cp:coreProperties>
</file>