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66" w:rsidRPr="007E1166" w:rsidRDefault="007E1166" w:rsidP="007E1166">
      <w:r w:rsidRPr="007E1166">
        <w:rPr>
          <w:rFonts w:cs="AdvPalI"/>
          <w:i/>
          <w:sz w:val="17"/>
          <w:szCs w:val="17"/>
        </w:rPr>
        <w:t xml:space="preserve">J Vet </w:t>
      </w:r>
      <w:proofErr w:type="spellStart"/>
      <w:r w:rsidRPr="007E1166">
        <w:rPr>
          <w:rFonts w:cs="AdvPalI"/>
          <w:i/>
          <w:sz w:val="17"/>
          <w:szCs w:val="17"/>
        </w:rPr>
        <w:t>Emerg</w:t>
      </w:r>
      <w:proofErr w:type="spellEnd"/>
      <w:r w:rsidRPr="007E1166">
        <w:rPr>
          <w:rFonts w:cs="AdvPalI"/>
          <w:i/>
          <w:sz w:val="17"/>
          <w:szCs w:val="17"/>
        </w:rPr>
        <w:t xml:space="preserve"> </w:t>
      </w:r>
      <w:proofErr w:type="spellStart"/>
      <w:r w:rsidRPr="007E1166">
        <w:rPr>
          <w:rFonts w:cs="AdvPalI"/>
          <w:i/>
          <w:sz w:val="17"/>
          <w:szCs w:val="17"/>
        </w:rPr>
        <w:t>Crit</w:t>
      </w:r>
      <w:proofErr w:type="spellEnd"/>
      <w:r w:rsidRPr="007E1166">
        <w:rPr>
          <w:rFonts w:cs="AdvPalI"/>
          <w:i/>
          <w:sz w:val="17"/>
          <w:szCs w:val="17"/>
        </w:rPr>
        <w:t xml:space="preserve"> Care</w:t>
      </w:r>
      <w:r w:rsidRPr="007E1166">
        <w:rPr>
          <w:rFonts w:cs="AdvPalI"/>
          <w:sz w:val="17"/>
          <w:szCs w:val="17"/>
        </w:rPr>
        <w:t xml:space="preserve"> 2007; 17(4): 391–398</w:t>
      </w:r>
    </w:p>
    <w:p w:rsidR="007E1166" w:rsidRPr="007E1166" w:rsidRDefault="007E1166" w:rsidP="007E1166">
      <w:pPr>
        <w:autoSpaceDE w:val="0"/>
        <w:autoSpaceDN w:val="0"/>
        <w:adjustRightInd w:val="0"/>
        <w:spacing w:after="0" w:line="240" w:lineRule="auto"/>
        <w:jc w:val="center"/>
        <w:rPr>
          <w:rFonts w:cs="AdvT044"/>
          <w:sz w:val="44"/>
          <w:szCs w:val="44"/>
        </w:rPr>
      </w:pPr>
      <w:r w:rsidRPr="007E1166">
        <w:rPr>
          <w:rFonts w:cs="AdvT044"/>
          <w:sz w:val="44"/>
          <w:szCs w:val="44"/>
        </w:rPr>
        <w:t>Comparison of dogs with septic peritonitis:</w:t>
      </w:r>
    </w:p>
    <w:p w:rsidR="007E1166" w:rsidRPr="007E1166" w:rsidRDefault="007E1166" w:rsidP="007E1166">
      <w:pPr>
        <w:autoSpaceDE w:val="0"/>
        <w:autoSpaceDN w:val="0"/>
        <w:adjustRightInd w:val="0"/>
        <w:spacing w:after="0" w:line="240" w:lineRule="auto"/>
        <w:jc w:val="center"/>
        <w:rPr>
          <w:rFonts w:cs="AdvT044"/>
          <w:sz w:val="44"/>
          <w:szCs w:val="44"/>
        </w:rPr>
      </w:pPr>
      <w:r w:rsidRPr="007E1166">
        <w:rPr>
          <w:rFonts w:cs="AdvT044"/>
          <w:sz w:val="44"/>
          <w:szCs w:val="44"/>
        </w:rPr>
        <w:t>1988-1993 versus 1999-2003</w:t>
      </w:r>
    </w:p>
    <w:p w:rsidR="007E1166" w:rsidRPr="007E1166" w:rsidRDefault="007E1166" w:rsidP="007E1166">
      <w:pPr>
        <w:autoSpaceDE w:val="0"/>
        <w:autoSpaceDN w:val="0"/>
        <w:adjustRightInd w:val="0"/>
        <w:spacing w:after="0" w:line="240" w:lineRule="auto"/>
        <w:jc w:val="center"/>
        <w:rPr>
          <w:rFonts w:cs="AdvPalR"/>
        </w:rPr>
      </w:pPr>
      <w:r w:rsidRPr="007E1166">
        <w:rPr>
          <w:rFonts w:cs="AdvPalR"/>
        </w:rPr>
        <w:t xml:space="preserve">Adrienne M. Bentley, DVM, Cynthia M. Otto, DVM, PhD, DACVECC and Frances S. </w:t>
      </w:r>
      <w:proofErr w:type="spellStart"/>
      <w:r w:rsidRPr="007E1166">
        <w:rPr>
          <w:rFonts w:cs="AdvPalR"/>
        </w:rPr>
        <w:t>Shofer</w:t>
      </w:r>
      <w:proofErr w:type="spellEnd"/>
      <w:r w:rsidRPr="007E1166">
        <w:rPr>
          <w:rFonts w:cs="AdvPalR"/>
        </w:rPr>
        <w:t>, PhD</w:t>
      </w:r>
    </w:p>
    <w:p w:rsidR="007E1166" w:rsidRPr="007E1166" w:rsidRDefault="007E1166" w:rsidP="007E1166">
      <w:pPr>
        <w:autoSpaceDE w:val="0"/>
        <w:autoSpaceDN w:val="0"/>
        <w:adjustRightInd w:val="0"/>
        <w:spacing w:after="0" w:line="240" w:lineRule="auto"/>
        <w:jc w:val="center"/>
        <w:rPr>
          <w:rFonts w:cs="AdvT044"/>
          <w:sz w:val="18"/>
          <w:szCs w:val="18"/>
        </w:rPr>
      </w:pPr>
      <w:r w:rsidRPr="007E1166">
        <w:rPr>
          <w:rFonts w:cs="AdvT044"/>
          <w:sz w:val="18"/>
          <w:szCs w:val="18"/>
        </w:rPr>
        <w:t>Abstract</w:t>
      </w:r>
    </w:p>
    <w:p w:rsidR="007E1166" w:rsidRPr="007E1166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 w:rsidRPr="007E1166">
        <w:rPr>
          <w:rFonts w:cs="AdvPalB"/>
          <w:b/>
          <w:sz w:val="20"/>
          <w:szCs w:val="20"/>
        </w:rPr>
        <w:t>Objective:</w:t>
      </w:r>
      <w:r w:rsidRPr="007E1166">
        <w:rPr>
          <w:rFonts w:cs="AdvPalB"/>
          <w:sz w:val="20"/>
          <w:szCs w:val="20"/>
        </w:rPr>
        <w:t xml:space="preserve"> </w:t>
      </w:r>
      <w:r w:rsidRPr="007E1166">
        <w:rPr>
          <w:rFonts w:cs="AdvPalR"/>
          <w:sz w:val="20"/>
          <w:szCs w:val="20"/>
        </w:rPr>
        <w:t>To describe and compare the patient population, treatment, and outcome in dogs with septic</w:t>
      </w:r>
    </w:p>
    <w:p w:rsidR="007E1166" w:rsidRPr="007E1166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proofErr w:type="gramStart"/>
      <w:r w:rsidRPr="007E1166">
        <w:rPr>
          <w:rFonts w:cs="AdvPalR"/>
          <w:sz w:val="20"/>
          <w:szCs w:val="20"/>
        </w:rPr>
        <w:t>peritonitis</w:t>
      </w:r>
      <w:proofErr w:type="gramEnd"/>
      <w:r w:rsidRPr="007E1166">
        <w:rPr>
          <w:rFonts w:cs="AdvPalR"/>
          <w:sz w:val="20"/>
          <w:szCs w:val="20"/>
        </w:rPr>
        <w:t xml:space="preserve"> from 2 time periods at the same institution.</w:t>
      </w:r>
    </w:p>
    <w:p w:rsidR="007E1166" w:rsidRPr="007E1166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 w:rsidRPr="007E1166">
        <w:rPr>
          <w:rFonts w:cs="AdvPalB"/>
          <w:b/>
          <w:sz w:val="20"/>
          <w:szCs w:val="20"/>
        </w:rPr>
        <w:t>Design:</w:t>
      </w:r>
      <w:r w:rsidRPr="007E1166">
        <w:rPr>
          <w:rFonts w:cs="AdvPalB"/>
          <w:sz w:val="20"/>
          <w:szCs w:val="20"/>
        </w:rPr>
        <w:t xml:space="preserve"> </w:t>
      </w:r>
      <w:r w:rsidRPr="007E1166">
        <w:rPr>
          <w:rFonts w:cs="AdvPalR"/>
          <w:sz w:val="20"/>
          <w:szCs w:val="20"/>
        </w:rPr>
        <w:t>Retrospective study.</w:t>
      </w:r>
    </w:p>
    <w:p w:rsidR="007E1166" w:rsidRPr="007E1166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 w:rsidRPr="007E1166">
        <w:rPr>
          <w:rFonts w:cs="AdvPalB"/>
          <w:b/>
          <w:sz w:val="20"/>
          <w:szCs w:val="20"/>
        </w:rPr>
        <w:t>Setting:</w:t>
      </w:r>
      <w:r w:rsidRPr="007E1166">
        <w:rPr>
          <w:rFonts w:cs="AdvPalB"/>
          <w:sz w:val="20"/>
          <w:szCs w:val="20"/>
        </w:rPr>
        <w:t xml:space="preserve"> </w:t>
      </w:r>
      <w:r w:rsidRPr="007E1166">
        <w:rPr>
          <w:rFonts w:cs="AdvPalR"/>
          <w:sz w:val="20"/>
          <w:szCs w:val="20"/>
        </w:rPr>
        <w:t>The Matthew J. Ryan Veterinary Hospital at the University of Pennsylvania.</w:t>
      </w:r>
    </w:p>
    <w:p w:rsidR="007E1166" w:rsidRPr="007E1166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 w:rsidRPr="007E1166">
        <w:rPr>
          <w:rFonts w:cs="AdvPalB"/>
          <w:b/>
          <w:sz w:val="20"/>
          <w:szCs w:val="20"/>
        </w:rPr>
        <w:t>Animals:</w:t>
      </w:r>
      <w:r w:rsidRPr="007E1166">
        <w:rPr>
          <w:rFonts w:cs="AdvPalB"/>
          <w:sz w:val="20"/>
          <w:szCs w:val="20"/>
        </w:rPr>
        <w:t xml:space="preserve"> </w:t>
      </w:r>
      <w:r w:rsidRPr="007E1166">
        <w:rPr>
          <w:rFonts w:cs="AdvPalR"/>
          <w:sz w:val="20"/>
          <w:szCs w:val="20"/>
        </w:rPr>
        <w:t>Dogs treated surgically for septic peritonitis between 1988–1993 and 1999–2003.</w:t>
      </w:r>
    </w:p>
    <w:p w:rsidR="007E1166" w:rsidRPr="007E1166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 w:rsidRPr="007E1166">
        <w:rPr>
          <w:rFonts w:cs="AdvPalB"/>
          <w:sz w:val="20"/>
          <w:szCs w:val="20"/>
        </w:rPr>
        <w:t xml:space="preserve">Interventions: </w:t>
      </w:r>
      <w:r w:rsidRPr="007E1166">
        <w:rPr>
          <w:rFonts w:cs="AdvPalR"/>
          <w:sz w:val="20"/>
          <w:szCs w:val="20"/>
        </w:rPr>
        <w:t>None.</w:t>
      </w:r>
    </w:p>
    <w:p w:rsidR="007E1166" w:rsidRPr="007E1166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 w:rsidRPr="007E1166">
        <w:rPr>
          <w:rFonts w:cs="AdvPalB"/>
          <w:b/>
          <w:sz w:val="20"/>
          <w:szCs w:val="20"/>
        </w:rPr>
        <w:t>Measurements:</w:t>
      </w:r>
      <w:r w:rsidRPr="007E1166">
        <w:rPr>
          <w:rFonts w:cs="AdvPalB"/>
          <w:sz w:val="20"/>
          <w:szCs w:val="20"/>
        </w:rPr>
        <w:t xml:space="preserve"> </w:t>
      </w:r>
      <w:r w:rsidRPr="007E1166">
        <w:rPr>
          <w:rFonts w:cs="AdvPalR"/>
          <w:sz w:val="20"/>
          <w:szCs w:val="20"/>
        </w:rPr>
        <w:t xml:space="preserve">Preoperative physical and </w:t>
      </w:r>
      <w:proofErr w:type="spellStart"/>
      <w:r w:rsidRPr="007E1166">
        <w:rPr>
          <w:rFonts w:cs="AdvPalR"/>
          <w:sz w:val="20"/>
          <w:szCs w:val="20"/>
        </w:rPr>
        <w:t>clinicopathologic</w:t>
      </w:r>
      <w:proofErr w:type="spellEnd"/>
      <w:r w:rsidRPr="007E1166">
        <w:rPr>
          <w:rFonts w:cs="AdvPalR"/>
          <w:sz w:val="20"/>
          <w:szCs w:val="20"/>
        </w:rPr>
        <w:t xml:space="preserve"> data, surgical findings, anesthetic parameters,</w:t>
      </w:r>
    </w:p>
    <w:p w:rsidR="007E1166" w:rsidRPr="007E1166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proofErr w:type="gramStart"/>
      <w:r w:rsidRPr="007E1166">
        <w:rPr>
          <w:rFonts w:cs="AdvPalR"/>
          <w:sz w:val="20"/>
          <w:szCs w:val="20"/>
        </w:rPr>
        <w:t>treatment</w:t>
      </w:r>
      <w:proofErr w:type="gramEnd"/>
      <w:r w:rsidRPr="007E1166">
        <w:rPr>
          <w:rFonts w:cs="AdvPalR"/>
          <w:sz w:val="20"/>
          <w:szCs w:val="20"/>
        </w:rPr>
        <w:t>, and outcome.</w:t>
      </w:r>
    </w:p>
    <w:p w:rsidR="007E1166" w:rsidRPr="007E1166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 w:rsidRPr="007E1166">
        <w:rPr>
          <w:rFonts w:cs="AdvPalB"/>
          <w:b/>
          <w:sz w:val="20"/>
          <w:szCs w:val="20"/>
        </w:rPr>
        <w:t>Main results:</w:t>
      </w:r>
      <w:r w:rsidRPr="007E1166">
        <w:rPr>
          <w:rFonts w:cs="AdvPalB"/>
          <w:sz w:val="20"/>
          <w:szCs w:val="20"/>
        </w:rPr>
        <w:t xml:space="preserve"> </w:t>
      </w:r>
      <w:r w:rsidRPr="007E1166">
        <w:rPr>
          <w:rFonts w:cs="AdvPalR"/>
          <w:sz w:val="20"/>
          <w:szCs w:val="20"/>
        </w:rPr>
        <w:t>No significant difference in survival among dogs treated surgically for septic peritonitis</w:t>
      </w:r>
    </w:p>
    <w:p w:rsidR="007E1166" w:rsidRPr="007E1166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proofErr w:type="gramStart"/>
      <w:r w:rsidRPr="007E1166">
        <w:rPr>
          <w:rFonts w:cs="AdvPalR"/>
          <w:sz w:val="20"/>
          <w:szCs w:val="20"/>
        </w:rPr>
        <w:t>between</w:t>
      </w:r>
      <w:proofErr w:type="gramEnd"/>
      <w:r w:rsidRPr="007E1166">
        <w:rPr>
          <w:rFonts w:cs="AdvPalR"/>
          <w:sz w:val="20"/>
          <w:szCs w:val="20"/>
        </w:rPr>
        <w:t xml:space="preserve"> 1988 and 1993 (21/33 [64%]) and 1999–2003 (29/51 [57%]) was detected. The patient populations of</w:t>
      </w:r>
    </w:p>
    <w:p w:rsidR="007E1166" w:rsidRPr="007E1166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proofErr w:type="gramStart"/>
      <w:r w:rsidRPr="007E1166">
        <w:rPr>
          <w:rFonts w:cs="AdvPalR"/>
          <w:sz w:val="20"/>
          <w:szCs w:val="20"/>
        </w:rPr>
        <w:t>the</w:t>
      </w:r>
      <w:proofErr w:type="gramEnd"/>
      <w:r w:rsidRPr="007E1166">
        <w:rPr>
          <w:rFonts w:cs="AdvPalR"/>
          <w:sz w:val="20"/>
          <w:szCs w:val="20"/>
        </w:rPr>
        <w:t xml:space="preserve"> two time periods were similar. Changes in treatment between the study periods reflected availability of</w:t>
      </w:r>
    </w:p>
    <w:p w:rsidR="007E1166" w:rsidRPr="007E1166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proofErr w:type="gramStart"/>
      <w:r w:rsidRPr="007E1166">
        <w:rPr>
          <w:rFonts w:cs="AdvPalR"/>
          <w:sz w:val="20"/>
          <w:szCs w:val="20"/>
        </w:rPr>
        <w:t>new</w:t>
      </w:r>
      <w:proofErr w:type="gramEnd"/>
      <w:r w:rsidRPr="007E1166">
        <w:rPr>
          <w:rFonts w:cs="AdvPalR"/>
          <w:sz w:val="20"/>
          <w:szCs w:val="20"/>
        </w:rPr>
        <w:t xml:space="preserve"> antibiotics and synthetic colloids, as well as greater attention to pain management and ulcer prevention.</w:t>
      </w:r>
    </w:p>
    <w:p w:rsidR="007E1166" w:rsidRPr="007E1166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 w:rsidRPr="007E1166">
        <w:rPr>
          <w:rFonts w:cs="AdvPalR"/>
          <w:sz w:val="20"/>
          <w:szCs w:val="20"/>
        </w:rPr>
        <w:t>Duration of hospitalization was not significantly different between the two time periods, but the daily cost</w:t>
      </w:r>
    </w:p>
    <w:p w:rsidR="007E1166" w:rsidRPr="007E1166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proofErr w:type="gramStart"/>
      <w:r w:rsidRPr="007E1166">
        <w:rPr>
          <w:rFonts w:cs="AdvPalR"/>
          <w:sz w:val="20"/>
          <w:szCs w:val="20"/>
        </w:rPr>
        <w:t>adjusted</w:t>
      </w:r>
      <w:proofErr w:type="gramEnd"/>
      <w:r w:rsidRPr="007E1166">
        <w:rPr>
          <w:rFonts w:cs="AdvPalR"/>
          <w:sz w:val="20"/>
          <w:szCs w:val="20"/>
        </w:rPr>
        <w:t xml:space="preserve"> to 2005 dollars was higher in 1999–2003. Potential prognostic indicators were compared between</w:t>
      </w:r>
    </w:p>
    <w:p w:rsidR="007E1166" w:rsidRPr="007E1166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proofErr w:type="gramStart"/>
      <w:r w:rsidRPr="007E1166">
        <w:rPr>
          <w:rFonts w:cs="AdvPalR"/>
          <w:sz w:val="20"/>
          <w:szCs w:val="20"/>
        </w:rPr>
        <w:t>survivors</w:t>
      </w:r>
      <w:proofErr w:type="gramEnd"/>
      <w:r w:rsidRPr="007E1166">
        <w:rPr>
          <w:rFonts w:cs="AdvPalR"/>
          <w:sz w:val="20"/>
          <w:szCs w:val="20"/>
        </w:rPr>
        <w:t xml:space="preserve"> and non-survivors after combining the data from both time periods, and although several</w:t>
      </w:r>
    </w:p>
    <w:p w:rsidR="007E1166" w:rsidRPr="007E1166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proofErr w:type="gramStart"/>
      <w:r w:rsidRPr="007E1166">
        <w:rPr>
          <w:rFonts w:cs="AdvPalR"/>
          <w:sz w:val="20"/>
          <w:szCs w:val="20"/>
        </w:rPr>
        <w:t>parameters</w:t>
      </w:r>
      <w:proofErr w:type="gramEnd"/>
      <w:r w:rsidRPr="007E1166">
        <w:rPr>
          <w:rFonts w:cs="AdvPalR"/>
          <w:sz w:val="20"/>
          <w:szCs w:val="20"/>
        </w:rPr>
        <w:t xml:space="preserve"> reached statistical significance, of greatest clinical significance were the higher blood pressure and</w:t>
      </w:r>
    </w:p>
    <w:p w:rsidR="007E1166" w:rsidRPr="007E1166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proofErr w:type="gramStart"/>
      <w:r w:rsidRPr="007E1166">
        <w:rPr>
          <w:rFonts w:cs="AdvPalR"/>
          <w:sz w:val="20"/>
          <w:szCs w:val="20"/>
        </w:rPr>
        <w:t>preoperative</w:t>
      </w:r>
      <w:proofErr w:type="gramEnd"/>
      <w:r w:rsidRPr="007E1166">
        <w:rPr>
          <w:rFonts w:cs="AdvPalR"/>
          <w:sz w:val="20"/>
          <w:szCs w:val="20"/>
        </w:rPr>
        <w:t xml:space="preserve"> serum albumin in survivors.</w:t>
      </w:r>
    </w:p>
    <w:p w:rsidR="007E1166" w:rsidRPr="007E1166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 w:rsidRPr="007E1166">
        <w:rPr>
          <w:rFonts w:cs="AdvPalB"/>
          <w:b/>
          <w:sz w:val="20"/>
          <w:szCs w:val="20"/>
        </w:rPr>
        <w:t>Conclusions:</w:t>
      </w:r>
      <w:r w:rsidRPr="007E1166">
        <w:rPr>
          <w:rFonts w:cs="AdvPalB"/>
          <w:sz w:val="20"/>
          <w:szCs w:val="20"/>
        </w:rPr>
        <w:t xml:space="preserve"> </w:t>
      </w:r>
      <w:r w:rsidRPr="007E1166">
        <w:rPr>
          <w:rFonts w:cs="AdvPalR"/>
          <w:sz w:val="20"/>
          <w:szCs w:val="20"/>
        </w:rPr>
        <w:t>Although new treatments were added to the supportive care of dogs with septic peritonitis,</w:t>
      </w:r>
    </w:p>
    <w:p w:rsidR="007E1166" w:rsidRPr="007E1166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proofErr w:type="gramStart"/>
      <w:r w:rsidRPr="007E1166">
        <w:rPr>
          <w:rFonts w:cs="AdvPalR"/>
          <w:sz w:val="20"/>
          <w:szCs w:val="20"/>
        </w:rPr>
        <w:t>survival</w:t>
      </w:r>
      <w:proofErr w:type="gramEnd"/>
      <w:r w:rsidRPr="007E1166">
        <w:rPr>
          <w:rFonts w:cs="AdvPalR"/>
          <w:sz w:val="20"/>
          <w:szCs w:val="20"/>
        </w:rPr>
        <w:t xml:space="preserve"> did not change sufficiently to detect a significant difference between the time periods evaluated.</w:t>
      </w:r>
    </w:p>
    <w:p w:rsidR="007E1166" w:rsidRPr="007E1166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 w:rsidRPr="007E1166">
        <w:rPr>
          <w:rFonts w:cs="AdvPalR"/>
          <w:sz w:val="20"/>
          <w:szCs w:val="20"/>
        </w:rPr>
        <w:t>Identifying reliable prognostic indicators for septic peritonitis remains a challenge, but hypotension and</w:t>
      </w:r>
    </w:p>
    <w:p w:rsidR="007E1166" w:rsidRPr="007E1166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proofErr w:type="gramStart"/>
      <w:r w:rsidRPr="007E1166">
        <w:rPr>
          <w:rFonts w:cs="AdvPalR"/>
          <w:sz w:val="20"/>
          <w:szCs w:val="20"/>
        </w:rPr>
        <w:t>decreased</w:t>
      </w:r>
      <w:proofErr w:type="gramEnd"/>
      <w:r w:rsidRPr="007E1166">
        <w:rPr>
          <w:rFonts w:cs="AdvPalR"/>
          <w:sz w:val="20"/>
          <w:szCs w:val="20"/>
        </w:rPr>
        <w:t xml:space="preserve"> preoperative serum albumin were associated with non-survival in this group of dogs.</w:t>
      </w:r>
    </w:p>
    <w:p w:rsidR="007E1166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17"/>
          <w:szCs w:val="17"/>
        </w:rPr>
      </w:pPr>
    </w:p>
    <w:p w:rsidR="007E1166" w:rsidRPr="006A7ED5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 w:rsidRPr="006A7ED5">
        <w:rPr>
          <w:rFonts w:cs="AdvPalR"/>
          <w:sz w:val="20"/>
          <w:szCs w:val="20"/>
        </w:rPr>
        <w:t>•There was no difference in survival, length of hospitalization or length of ICU stay between the two time groups</w:t>
      </w:r>
    </w:p>
    <w:p w:rsidR="007E1166" w:rsidRPr="006A7ED5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 w:rsidRPr="006A7ED5">
        <w:rPr>
          <w:rFonts w:cs="AdvPalR"/>
          <w:sz w:val="20"/>
          <w:szCs w:val="20"/>
        </w:rPr>
        <w:t xml:space="preserve">• Survivors had higher initial and </w:t>
      </w:r>
      <w:proofErr w:type="spellStart"/>
      <w:r w:rsidRPr="006A7ED5">
        <w:rPr>
          <w:rFonts w:cs="AdvPalR"/>
          <w:sz w:val="20"/>
          <w:szCs w:val="20"/>
        </w:rPr>
        <w:t>intraoperative</w:t>
      </w:r>
      <w:proofErr w:type="spellEnd"/>
      <w:r w:rsidRPr="006A7ED5">
        <w:rPr>
          <w:rFonts w:cs="AdvPalR"/>
          <w:sz w:val="20"/>
          <w:szCs w:val="20"/>
        </w:rPr>
        <w:t xml:space="preserve"> blood pressure parameters than non-survivors and a shorter duration of </w:t>
      </w:r>
      <w:proofErr w:type="spellStart"/>
      <w:r w:rsidRPr="006A7ED5">
        <w:rPr>
          <w:rFonts w:cs="AdvPalR"/>
          <w:sz w:val="20"/>
          <w:szCs w:val="20"/>
        </w:rPr>
        <w:t>intraoperative</w:t>
      </w:r>
      <w:proofErr w:type="spellEnd"/>
      <w:r w:rsidRPr="006A7ED5">
        <w:rPr>
          <w:rFonts w:cs="AdvPalR"/>
          <w:sz w:val="20"/>
          <w:szCs w:val="20"/>
        </w:rPr>
        <w:t xml:space="preserve"> hypotension</w:t>
      </w:r>
    </w:p>
    <w:p w:rsidR="007E1166" w:rsidRPr="006A7ED5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 w:rsidRPr="006A7ED5">
        <w:rPr>
          <w:rFonts w:cs="AdvPalR"/>
          <w:sz w:val="20"/>
          <w:szCs w:val="20"/>
        </w:rPr>
        <w:t xml:space="preserve">• Survivors had higher initial albumin levels, PCV/TS, pH and less prolongation of </w:t>
      </w:r>
      <w:proofErr w:type="spellStart"/>
      <w:r w:rsidRPr="006A7ED5">
        <w:rPr>
          <w:rFonts w:cs="AdvPalR"/>
          <w:sz w:val="20"/>
          <w:szCs w:val="20"/>
        </w:rPr>
        <w:t>aPTT</w:t>
      </w:r>
      <w:proofErr w:type="spellEnd"/>
      <w:r w:rsidRPr="006A7ED5">
        <w:rPr>
          <w:rFonts w:cs="AdvPalR"/>
          <w:sz w:val="20"/>
          <w:szCs w:val="20"/>
        </w:rPr>
        <w:t xml:space="preserve"> than non-survivors</w:t>
      </w:r>
    </w:p>
    <w:p w:rsidR="007E1166" w:rsidRPr="006A7ED5" w:rsidRDefault="007E1166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 w:rsidRPr="006A7ED5">
        <w:rPr>
          <w:rFonts w:cs="AdvPalR"/>
          <w:sz w:val="20"/>
          <w:szCs w:val="20"/>
        </w:rPr>
        <w:t>•</w:t>
      </w:r>
      <w:r w:rsidR="006A7ED5" w:rsidRPr="006A7ED5">
        <w:rPr>
          <w:rFonts w:cs="AdvPalR"/>
          <w:sz w:val="20"/>
          <w:szCs w:val="20"/>
        </w:rPr>
        <w:t xml:space="preserve">More dogs in the later group received </w:t>
      </w:r>
      <w:proofErr w:type="spellStart"/>
      <w:r w:rsidR="006A7ED5" w:rsidRPr="006A7ED5">
        <w:rPr>
          <w:rFonts w:cs="AdvPalR"/>
          <w:sz w:val="20"/>
          <w:szCs w:val="20"/>
        </w:rPr>
        <w:t>enrofloxacin</w:t>
      </w:r>
      <w:proofErr w:type="spellEnd"/>
      <w:r w:rsidR="006A7ED5" w:rsidRPr="006A7ED5">
        <w:rPr>
          <w:rFonts w:cs="AdvPalR"/>
          <w:sz w:val="20"/>
          <w:szCs w:val="20"/>
        </w:rPr>
        <w:t xml:space="preserve">, </w:t>
      </w:r>
      <w:proofErr w:type="spellStart"/>
      <w:r w:rsidR="006A7ED5" w:rsidRPr="006A7ED5">
        <w:rPr>
          <w:rFonts w:cs="AdvPalR"/>
          <w:sz w:val="20"/>
          <w:szCs w:val="20"/>
        </w:rPr>
        <w:t>ampicillin</w:t>
      </w:r>
      <w:proofErr w:type="spellEnd"/>
      <w:r w:rsidR="006A7ED5" w:rsidRPr="006A7ED5">
        <w:rPr>
          <w:rFonts w:cs="AdvPalR"/>
          <w:sz w:val="20"/>
          <w:szCs w:val="20"/>
        </w:rPr>
        <w:t xml:space="preserve">, an analgesic, a histamine 2 receptor </w:t>
      </w:r>
      <w:proofErr w:type="gramStart"/>
      <w:r w:rsidR="006A7ED5" w:rsidRPr="006A7ED5">
        <w:rPr>
          <w:rFonts w:cs="AdvPalR"/>
          <w:sz w:val="20"/>
          <w:szCs w:val="20"/>
        </w:rPr>
        <w:t>antagonist</w:t>
      </w:r>
      <w:proofErr w:type="gramEnd"/>
      <w:r w:rsidR="006A7ED5" w:rsidRPr="006A7ED5">
        <w:rPr>
          <w:rFonts w:cs="AdvPalR"/>
          <w:sz w:val="20"/>
          <w:szCs w:val="20"/>
        </w:rPr>
        <w:t xml:space="preserve"> and a synthetic colloid</w:t>
      </w:r>
    </w:p>
    <w:p w:rsidR="006A7ED5" w:rsidRDefault="006A7ED5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 w:rsidRPr="006A7ED5">
        <w:rPr>
          <w:rFonts w:cs="AdvPalR"/>
          <w:sz w:val="20"/>
          <w:szCs w:val="20"/>
        </w:rPr>
        <w:t xml:space="preserve">•Survivors received a greater number of antibiotics, while non-survivors received a greater number of </w:t>
      </w:r>
      <w:proofErr w:type="spellStart"/>
      <w:r w:rsidRPr="006A7ED5">
        <w:rPr>
          <w:rFonts w:cs="AdvPalR"/>
          <w:sz w:val="20"/>
          <w:szCs w:val="20"/>
        </w:rPr>
        <w:t>vasopressors</w:t>
      </w:r>
      <w:proofErr w:type="spellEnd"/>
    </w:p>
    <w:p w:rsidR="006A7ED5" w:rsidRDefault="006A7ED5" w:rsidP="007E1166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</w:p>
    <w:p w:rsidR="006A7ED5" w:rsidRDefault="006A7ED5" w:rsidP="006A7ED5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 w:rsidRPr="006A7ED5">
        <w:rPr>
          <w:rFonts w:cs="AdvPalR"/>
          <w:sz w:val="20"/>
          <w:szCs w:val="20"/>
        </w:rPr>
        <w:t>1.</w:t>
      </w:r>
      <w:r>
        <w:rPr>
          <w:rFonts w:cs="AdvPalR"/>
          <w:sz w:val="20"/>
          <w:szCs w:val="20"/>
        </w:rPr>
        <w:t xml:space="preserve"> </w:t>
      </w:r>
      <w:r w:rsidR="007A328D">
        <w:rPr>
          <w:rFonts w:cs="AdvPalR"/>
          <w:sz w:val="20"/>
          <w:szCs w:val="20"/>
        </w:rPr>
        <w:t>When comparing dogs with septic peritonitis (Bentley AM et al. JVECC 2007) from 1988-1993 versus 1999-2003, which of the following was found to be significantly different between the groups?</w:t>
      </w:r>
    </w:p>
    <w:p w:rsidR="007A328D" w:rsidRDefault="007A328D" w:rsidP="006A7ED5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>
        <w:rPr>
          <w:rFonts w:cs="AdvPalR"/>
          <w:sz w:val="20"/>
          <w:szCs w:val="20"/>
        </w:rPr>
        <w:tab/>
        <w:t>a. Duration of hospitalization</w:t>
      </w:r>
    </w:p>
    <w:p w:rsidR="007A328D" w:rsidRDefault="007A328D" w:rsidP="006A7ED5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>
        <w:rPr>
          <w:rFonts w:cs="AdvPalR"/>
          <w:sz w:val="20"/>
          <w:szCs w:val="20"/>
        </w:rPr>
        <w:tab/>
        <w:t>b. Survival rate</w:t>
      </w:r>
    </w:p>
    <w:p w:rsidR="007A328D" w:rsidRDefault="007A328D" w:rsidP="006A7ED5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>
        <w:rPr>
          <w:rFonts w:cs="AdvPalR"/>
          <w:sz w:val="20"/>
          <w:szCs w:val="20"/>
        </w:rPr>
        <w:tab/>
        <w:t>c. Use of analgesics</w:t>
      </w:r>
    </w:p>
    <w:p w:rsidR="007A328D" w:rsidRDefault="007A328D" w:rsidP="006A7ED5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>
        <w:rPr>
          <w:rFonts w:cs="AdvPalR"/>
          <w:sz w:val="20"/>
          <w:szCs w:val="20"/>
        </w:rPr>
        <w:tab/>
        <w:t>d. Severity of disease</w:t>
      </w:r>
    </w:p>
    <w:p w:rsidR="007A328D" w:rsidRDefault="007A328D" w:rsidP="006A7ED5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</w:p>
    <w:p w:rsidR="007A328D" w:rsidRDefault="007A328D" w:rsidP="006A7ED5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>
        <w:rPr>
          <w:rFonts w:cs="AdvPalR"/>
          <w:sz w:val="20"/>
          <w:szCs w:val="20"/>
        </w:rPr>
        <w:t>2. Which of the following differed significantly between survivors and non-survivors of septic peritonitis?</w:t>
      </w:r>
    </w:p>
    <w:p w:rsidR="007A328D" w:rsidRDefault="007A328D" w:rsidP="006A7ED5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>
        <w:rPr>
          <w:rFonts w:cs="AdvPalR"/>
          <w:sz w:val="20"/>
          <w:szCs w:val="20"/>
        </w:rPr>
        <w:tab/>
        <w:t xml:space="preserve">a. </w:t>
      </w:r>
      <w:r w:rsidR="00EA0404">
        <w:rPr>
          <w:rFonts w:cs="AdvPalR"/>
          <w:sz w:val="20"/>
          <w:szCs w:val="20"/>
        </w:rPr>
        <w:t>Severity of disease</w:t>
      </w:r>
    </w:p>
    <w:p w:rsidR="00EA0404" w:rsidRDefault="00EA0404" w:rsidP="006A7ED5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>
        <w:rPr>
          <w:rFonts w:cs="AdvPalR"/>
          <w:sz w:val="20"/>
          <w:szCs w:val="20"/>
        </w:rPr>
        <w:tab/>
        <w:t>b. Initial blood pressure</w:t>
      </w:r>
    </w:p>
    <w:p w:rsidR="00EA0404" w:rsidRDefault="00EA0404" w:rsidP="006A7ED5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>
        <w:rPr>
          <w:rFonts w:cs="AdvPalR"/>
          <w:sz w:val="20"/>
          <w:szCs w:val="20"/>
        </w:rPr>
        <w:tab/>
        <w:t>c. Source of sepsis</w:t>
      </w:r>
    </w:p>
    <w:p w:rsidR="00EA0404" w:rsidRDefault="00EA0404" w:rsidP="006A7ED5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>
        <w:rPr>
          <w:rFonts w:cs="AdvPalR"/>
          <w:sz w:val="20"/>
          <w:szCs w:val="20"/>
        </w:rPr>
        <w:tab/>
        <w:t>d. Post-operative albumin</w:t>
      </w:r>
    </w:p>
    <w:p w:rsidR="00EA0404" w:rsidRDefault="00EA0404" w:rsidP="006A7ED5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</w:p>
    <w:p w:rsidR="00EA0404" w:rsidRDefault="00EA0404" w:rsidP="006A7ED5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>
        <w:rPr>
          <w:rFonts w:cs="AdvPalR"/>
          <w:sz w:val="20"/>
          <w:szCs w:val="20"/>
        </w:rPr>
        <w:lastRenderedPageBreak/>
        <w:t>3. According to the study by Bentley AM et al., the most common source of sepsis in dogs with septic peritonitis was?</w:t>
      </w:r>
    </w:p>
    <w:p w:rsidR="00EA0404" w:rsidRDefault="00EA0404" w:rsidP="006A7ED5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>
        <w:rPr>
          <w:rFonts w:cs="AdvPalR"/>
          <w:sz w:val="20"/>
          <w:szCs w:val="20"/>
        </w:rPr>
        <w:tab/>
        <w:t>a. Gastrointestinal tract</w:t>
      </w:r>
    </w:p>
    <w:p w:rsidR="00EA0404" w:rsidRDefault="00EA0404" w:rsidP="006A7ED5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>
        <w:rPr>
          <w:rFonts w:cs="AdvPalR"/>
          <w:sz w:val="20"/>
          <w:szCs w:val="20"/>
        </w:rPr>
        <w:tab/>
        <w:t xml:space="preserve">b. </w:t>
      </w:r>
      <w:proofErr w:type="spellStart"/>
      <w:r>
        <w:rPr>
          <w:rFonts w:cs="AdvPalR"/>
          <w:sz w:val="20"/>
          <w:szCs w:val="20"/>
        </w:rPr>
        <w:t>Urogenital</w:t>
      </w:r>
      <w:proofErr w:type="spellEnd"/>
      <w:r>
        <w:rPr>
          <w:rFonts w:cs="AdvPalR"/>
          <w:sz w:val="20"/>
          <w:szCs w:val="20"/>
        </w:rPr>
        <w:t xml:space="preserve"> system</w:t>
      </w:r>
    </w:p>
    <w:p w:rsidR="00EA0404" w:rsidRDefault="00EA0404" w:rsidP="006A7ED5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>
        <w:rPr>
          <w:rFonts w:cs="AdvPalR"/>
          <w:sz w:val="20"/>
          <w:szCs w:val="20"/>
        </w:rPr>
        <w:tab/>
        <w:t xml:space="preserve">c. </w:t>
      </w:r>
      <w:proofErr w:type="spellStart"/>
      <w:r>
        <w:rPr>
          <w:rFonts w:cs="AdvPalR"/>
          <w:sz w:val="20"/>
          <w:szCs w:val="20"/>
        </w:rPr>
        <w:t>Hepatobilliary</w:t>
      </w:r>
      <w:proofErr w:type="spellEnd"/>
      <w:r>
        <w:rPr>
          <w:rFonts w:cs="AdvPalR"/>
          <w:sz w:val="20"/>
          <w:szCs w:val="20"/>
        </w:rPr>
        <w:t xml:space="preserve"> system</w:t>
      </w:r>
    </w:p>
    <w:p w:rsidR="00EA0404" w:rsidRDefault="00EA0404" w:rsidP="006A7ED5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>
        <w:rPr>
          <w:rFonts w:cs="AdvPalR"/>
          <w:sz w:val="20"/>
          <w:szCs w:val="20"/>
        </w:rPr>
        <w:tab/>
        <w:t xml:space="preserve">d. </w:t>
      </w:r>
      <w:proofErr w:type="spellStart"/>
      <w:r>
        <w:rPr>
          <w:rFonts w:cs="AdvPalR"/>
          <w:sz w:val="20"/>
          <w:szCs w:val="20"/>
        </w:rPr>
        <w:t>Hematogenous</w:t>
      </w:r>
      <w:proofErr w:type="spellEnd"/>
    </w:p>
    <w:p w:rsidR="00EA0404" w:rsidRDefault="00EA0404" w:rsidP="006A7ED5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</w:p>
    <w:p w:rsidR="00EA0404" w:rsidRDefault="00EA0404" w:rsidP="006A7ED5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>
        <w:rPr>
          <w:rFonts w:cs="AdvPalR"/>
          <w:sz w:val="20"/>
          <w:szCs w:val="20"/>
        </w:rPr>
        <w:t>4. What was the overall mortality rate in dogs with septic peritonitis according to this study?</w:t>
      </w:r>
    </w:p>
    <w:p w:rsidR="00EA0404" w:rsidRDefault="00EA0404" w:rsidP="00EA0404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>
        <w:rPr>
          <w:rFonts w:cs="AdvPalR"/>
          <w:sz w:val="20"/>
          <w:szCs w:val="20"/>
        </w:rPr>
        <w:tab/>
      </w:r>
      <w:proofErr w:type="gramStart"/>
      <w:r>
        <w:rPr>
          <w:rFonts w:cs="AdvPalR"/>
          <w:sz w:val="20"/>
          <w:szCs w:val="20"/>
        </w:rPr>
        <w:t>a. 60</w:t>
      </w:r>
      <w:proofErr w:type="gramEnd"/>
      <w:r>
        <w:rPr>
          <w:rFonts w:cs="AdvPalR"/>
          <w:sz w:val="20"/>
          <w:szCs w:val="20"/>
        </w:rPr>
        <w:t>%</w:t>
      </w:r>
    </w:p>
    <w:p w:rsidR="00EA0404" w:rsidRDefault="00EA0404" w:rsidP="00EA0404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>
        <w:rPr>
          <w:rFonts w:cs="AdvPalR"/>
          <w:sz w:val="20"/>
          <w:szCs w:val="20"/>
        </w:rPr>
        <w:tab/>
      </w:r>
      <w:proofErr w:type="gramStart"/>
      <w:r>
        <w:rPr>
          <w:rFonts w:cs="AdvPalR"/>
          <w:sz w:val="20"/>
          <w:szCs w:val="20"/>
        </w:rPr>
        <w:t>b. 50</w:t>
      </w:r>
      <w:proofErr w:type="gramEnd"/>
      <w:r>
        <w:rPr>
          <w:rFonts w:cs="AdvPalR"/>
          <w:sz w:val="20"/>
          <w:szCs w:val="20"/>
        </w:rPr>
        <w:t>%</w:t>
      </w:r>
    </w:p>
    <w:p w:rsidR="00EA0404" w:rsidRDefault="00EA0404" w:rsidP="00EA0404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>
        <w:rPr>
          <w:rFonts w:cs="AdvPalR"/>
          <w:sz w:val="20"/>
          <w:szCs w:val="20"/>
        </w:rPr>
        <w:tab/>
      </w:r>
      <w:proofErr w:type="gramStart"/>
      <w:r>
        <w:rPr>
          <w:rFonts w:cs="AdvPalR"/>
          <w:sz w:val="20"/>
          <w:szCs w:val="20"/>
        </w:rPr>
        <w:t>c. 40</w:t>
      </w:r>
      <w:proofErr w:type="gramEnd"/>
      <w:r>
        <w:rPr>
          <w:rFonts w:cs="AdvPalR"/>
          <w:sz w:val="20"/>
          <w:szCs w:val="20"/>
        </w:rPr>
        <w:t>%</w:t>
      </w:r>
    </w:p>
    <w:p w:rsidR="00EA0404" w:rsidRDefault="00EA0404" w:rsidP="00EA0404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  <w:r>
        <w:rPr>
          <w:rFonts w:cs="AdvPalR"/>
          <w:sz w:val="20"/>
          <w:szCs w:val="20"/>
        </w:rPr>
        <w:tab/>
        <w:t>d. 30%</w:t>
      </w:r>
    </w:p>
    <w:p w:rsidR="00EA0404" w:rsidRPr="006A7ED5" w:rsidRDefault="00EA0404" w:rsidP="006A7ED5">
      <w:pPr>
        <w:autoSpaceDE w:val="0"/>
        <w:autoSpaceDN w:val="0"/>
        <w:adjustRightInd w:val="0"/>
        <w:spacing w:after="0" w:line="240" w:lineRule="auto"/>
        <w:rPr>
          <w:rFonts w:cs="AdvPalR"/>
          <w:sz w:val="20"/>
          <w:szCs w:val="20"/>
        </w:rPr>
      </w:pPr>
    </w:p>
    <w:sectPr w:rsidR="00EA0404" w:rsidRPr="006A7ED5" w:rsidSect="003637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dvPal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04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Pal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alB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F778B"/>
    <w:multiLevelType w:val="hybridMultilevel"/>
    <w:tmpl w:val="867A7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1166"/>
    <w:rsid w:val="0036373C"/>
    <w:rsid w:val="006A7ED5"/>
    <w:rsid w:val="007A328D"/>
    <w:rsid w:val="007E1166"/>
    <w:rsid w:val="00EA0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7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7E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hospubOrig</dc:creator>
  <cp:keywords/>
  <dc:description/>
  <cp:lastModifiedBy>hospubOrig</cp:lastModifiedBy>
  <cp:revision>2</cp:revision>
  <dcterms:created xsi:type="dcterms:W3CDTF">2011-08-15T03:32:00Z</dcterms:created>
  <dcterms:modified xsi:type="dcterms:W3CDTF">2011-08-15T03:58:00Z</dcterms:modified>
</cp:coreProperties>
</file>