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Default Extension="gif" ContentType="image/gif"/>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4A9D" w:rsidRPr="00D917DD" w:rsidRDefault="00B817ED" w:rsidP="00F10866">
      <w:pPr>
        <w:tabs>
          <w:tab w:val="left" w:pos="7140"/>
        </w:tabs>
      </w:pPr>
      <w:r>
        <w:tab/>
      </w:r>
    </w:p>
    <w:p w:rsidR="00F10866" w:rsidRPr="00801F82" w:rsidRDefault="00F10866" w:rsidP="00801F82">
      <w:pPr>
        <w:pStyle w:val="Title"/>
      </w:pPr>
      <w:r w:rsidRPr="00801F82">
        <w:t xml:space="preserve">Turbidity </w:t>
      </w:r>
      <w:r w:rsidR="00936655">
        <w:t>Final</w:t>
      </w:r>
      <w:r w:rsidR="00936655" w:rsidRPr="00801F82">
        <w:t xml:space="preserve"> </w:t>
      </w:r>
      <w:r w:rsidRPr="00801F82">
        <w:t>Report</w:t>
      </w:r>
    </w:p>
    <w:p w:rsidR="00F10866" w:rsidRPr="00DB4041" w:rsidRDefault="00F10866" w:rsidP="00F10866"/>
    <w:p w:rsidR="00F10866" w:rsidRPr="00DB4041" w:rsidRDefault="00F10866" w:rsidP="00F10866">
      <w:r>
        <w:t>Primary Author</w:t>
      </w:r>
      <w:r w:rsidR="00723B90">
        <w:t>s</w:t>
      </w:r>
      <w:r>
        <w:t xml:space="preserve">:  </w:t>
      </w:r>
      <w:r w:rsidRPr="00DB4041">
        <w:t>Emily Clamp</w:t>
      </w:r>
      <w:r w:rsidR="00723B90">
        <w:t xml:space="preserve">, </w:t>
      </w:r>
      <w:proofErr w:type="spellStart"/>
      <w:r w:rsidR="00723B90" w:rsidRPr="00DB4041">
        <w:rPr>
          <w:bCs/>
          <w:u w:color="2344A7"/>
        </w:rPr>
        <w:t>Rohiverth</w:t>
      </w:r>
      <w:proofErr w:type="spellEnd"/>
      <w:r w:rsidR="00723B90" w:rsidRPr="00DB4041">
        <w:rPr>
          <w:bCs/>
          <w:u w:color="2344A7"/>
        </w:rPr>
        <w:t xml:space="preserve"> </w:t>
      </w:r>
      <w:proofErr w:type="spellStart"/>
      <w:r w:rsidR="00723B90" w:rsidRPr="00DB4041">
        <w:rPr>
          <w:bCs/>
          <w:u w:color="2344A7"/>
        </w:rPr>
        <w:t>Guarecuco</w:t>
      </w:r>
      <w:proofErr w:type="spellEnd"/>
      <w:r w:rsidR="00723B90" w:rsidRPr="00DB4041">
        <w:rPr>
          <w:bCs/>
          <w:u w:color="2344A7"/>
        </w:rPr>
        <w:t>,</w:t>
      </w:r>
      <w:r w:rsidR="00723B90" w:rsidRPr="00DB4041">
        <w:t xml:space="preserve"> Julia Morris</w:t>
      </w:r>
    </w:p>
    <w:p w:rsidR="00F10866" w:rsidRPr="00AF08AA" w:rsidRDefault="00F10866" w:rsidP="00F10866"/>
    <w:p w:rsidR="00F10866" w:rsidRPr="00AF08AA" w:rsidRDefault="00F10866" w:rsidP="00F10866">
      <w:r w:rsidRPr="00AF08AA">
        <w:t>AguaClara Reflection Report</w:t>
      </w:r>
    </w:p>
    <w:p w:rsidR="00F10866" w:rsidRPr="00AF08AA" w:rsidRDefault="00F10866" w:rsidP="00F10866">
      <w:r w:rsidRPr="00AF08AA">
        <w:t>Cornell University</w:t>
      </w:r>
    </w:p>
    <w:p w:rsidR="00F10866" w:rsidRPr="00AF08AA" w:rsidRDefault="00F10866" w:rsidP="00F10866">
      <w:r w:rsidRPr="00AF08AA">
        <w:t xml:space="preserve">School of Civil &amp; Environmental Engineering </w:t>
      </w:r>
    </w:p>
    <w:p w:rsidR="00F10866" w:rsidRPr="00AF08AA" w:rsidRDefault="00F10866" w:rsidP="00F10866">
      <w:r w:rsidRPr="00AF08AA">
        <w:t>Ithaca, NY 14853-3501</w:t>
      </w:r>
    </w:p>
    <w:p w:rsidR="00F10866" w:rsidRPr="00AF08AA" w:rsidRDefault="00F10866" w:rsidP="00F10866"/>
    <w:p w:rsidR="00E6247C" w:rsidRDefault="00F10866" w:rsidP="00F10866">
      <w:pPr>
        <w:spacing w:line="360" w:lineRule="auto"/>
      </w:pPr>
      <w:r w:rsidRPr="00AF08AA">
        <w:t xml:space="preserve">Date Submitted: </w:t>
      </w:r>
      <w:r w:rsidR="00936655">
        <w:t>05</w:t>
      </w:r>
      <w:r w:rsidR="00191C1A">
        <w:t>/0</w:t>
      </w:r>
      <w:r w:rsidR="00936655">
        <w:t>4</w:t>
      </w:r>
      <w:r>
        <w:t>/11</w:t>
      </w:r>
    </w:p>
    <w:p w:rsidR="00E6247C" w:rsidRDefault="00E6247C" w:rsidP="00F10866">
      <w:pPr>
        <w:spacing w:line="360" w:lineRule="auto"/>
      </w:pPr>
    </w:p>
    <w:p w:rsidR="00F10866" w:rsidRPr="00191C1A" w:rsidRDefault="00E6247C" w:rsidP="00F10866">
      <w:pPr>
        <w:spacing w:line="360" w:lineRule="auto"/>
        <w:rPr>
          <w:b/>
          <w:i/>
          <w:sz w:val="28"/>
          <w:szCs w:val="28"/>
        </w:rPr>
      </w:pPr>
      <w:r>
        <w:t>Date Revised: 05/11/11</w:t>
      </w:r>
      <w:r w:rsidR="00F10866" w:rsidRPr="00AF08AA">
        <w:br w:type="page"/>
      </w:r>
      <w:r w:rsidR="00F10866" w:rsidRPr="00BD4121">
        <w:rPr>
          <w:rStyle w:val="Heading2Char"/>
          <w:b/>
          <w:i/>
        </w:rPr>
        <w:lastRenderedPageBreak/>
        <w:t xml:space="preserve">Abstract </w:t>
      </w:r>
    </w:p>
    <w:p w:rsidR="00000000" w:rsidRDefault="004000C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after="200" w:line="480" w:lineRule="auto"/>
        <w:rPr>
          <w:rFonts w:eastAsia="Cambria"/>
          <w:color w:val="000000"/>
          <w:lang w:bidi="ar-SA"/>
        </w:rPr>
      </w:pPr>
      <w:r>
        <w:tab/>
      </w:r>
      <w:r w:rsidR="00F10866" w:rsidRPr="00915E13">
        <w:t xml:space="preserve">The goal of the turbidity team </w:t>
      </w:r>
      <w:r>
        <w:t>wa</w:t>
      </w:r>
      <w:r w:rsidR="00F10866" w:rsidRPr="00915E13">
        <w:t xml:space="preserve">s to create a low-cost </w:t>
      </w:r>
      <w:proofErr w:type="spellStart"/>
      <w:r w:rsidR="00B325B1" w:rsidRPr="00915E13">
        <w:t>turbidimeter</w:t>
      </w:r>
      <w:proofErr w:type="spellEnd"/>
      <w:r w:rsidR="00B325B1" w:rsidRPr="00915E13">
        <w:t xml:space="preserve"> </w:t>
      </w:r>
      <w:r w:rsidR="00F10866" w:rsidRPr="00915E13">
        <w:t xml:space="preserve">that measures water turbidity within the range of 5 NTU to 250 NTU. Thus far, the team has brainstormed various </w:t>
      </w:r>
      <w:proofErr w:type="spellStart"/>
      <w:r w:rsidR="00F10866" w:rsidRPr="00915E13">
        <w:t>turbidimeter</w:t>
      </w:r>
      <w:proofErr w:type="spellEnd"/>
      <w:r w:rsidR="00F10866" w:rsidRPr="00915E13">
        <w:t xml:space="preserve"> designs and created </w:t>
      </w:r>
      <w:r w:rsidR="00520813" w:rsidRPr="00520813">
        <w:t>several prototypes</w:t>
      </w:r>
      <w:r>
        <w:t xml:space="preserve"> </w:t>
      </w:r>
      <w:r w:rsidR="00520813">
        <w:rPr>
          <w:rFonts w:eastAsia="Cambria"/>
        </w:rPr>
        <w:t xml:space="preserve">for simultaneously testing different </w:t>
      </w:r>
      <w:r w:rsidR="007877AF">
        <w:rPr>
          <w:rFonts w:eastAsia="Cambria"/>
        </w:rPr>
        <w:t>LED display patterns. Many patterns have been assessed</w:t>
      </w:r>
      <w:r>
        <w:rPr>
          <w:rFonts w:eastAsia="Cambria"/>
        </w:rPr>
        <w:t xml:space="preserve">, </w:t>
      </w:r>
      <w:r>
        <w:rPr>
          <w:rFonts w:eastAsia="Cambria"/>
          <w:color w:val="000000"/>
          <w:lang w:bidi="ar-SA"/>
        </w:rPr>
        <w:t xml:space="preserve">including a dual-range LED </w:t>
      </w:r>
      <w:proofErr w:type="spellStart"/>
      <w:r>
        <w:rPr>
          <w:rFonts w:eastAsia="Cambria"/>
          <w:color w:val="000000"/>
          <w:lang w:bidi="ar-SA"/>
        </w:rPr>
        <w:t>diplay</w:t>
      </w:r>
      <w:proofErr w:type="spellEnd"/>
      <w:r>
        <w:rPr>
          <w:rFonts w:eastAsia="Cambria"/>
          <w:color w:val="000000"/>
          <w:lang w:bidi="ar-SA"/>
        </w:rPr>
        <w:t xml:space="preserve"> pattern for measuring a broad turbidity range.</w:t>
      </w:r>
      <w:r w:rsidR="007877AF">
        <w:rPr>
          <w:rFonts w:eastAsia="Cambria"/>
        </w:rPr>
        <w:t xml:space="preserve"> </w:t>
      </w:r>
      <w:r w:rsidR="00DB28A3">
        <w:rPr>
          <w:rFonts w:eastAsia="Cambria"/>
        </w:rPr>
        <w:t xml:space="preserve">The dual-range LED pattern </w:t>
      </w:r>
      <w:r>
        <w:rPr>
          <w:rFonts w:eastAsia="Cambria"/>
        </w:rPr>
        <w:t>was tested</w:t>
      </w:r>
      <w:r w:rsidR="00DB28A3">
        <w:rPr>
          <w:rFonts w:eastAsia="Cambria"/>
        </w:rPr>
        <w:t xml:space="preserve"> using an experimental setup that allow</w:t>
      </w:r>
      <w:r>
        <w:rPr>
          <w:rFonts w:eastAsia="Cambria"/>
        </w:rPr>
        <w:t>ed</w:t>
      </w:r>
      <w:r w:rsidR="00DB28A3">
        <w:rPr>
          <w:rFonts w:eastAsia="Cambria"/>
        </w:rPr>
        <w:t xml:space="preserve"> turbidity measurement of water tha</w:t>
      </w:r>
      <w:r w:rsidR="003E70B5">
        <w:rPr>
          <w:rFonts w:eastAsia="Cambria"/>
        </w:rPr>
        <w:t xml:space="preserve">t </w:t>
      </w:r>
      <w:r>
        <w:rPr>
          <w:rFonts w:eastAsia="Cambria"/>
        </w:rPr>
        <w:t>wa</w:t>
      </w:r>
      <w:r w:rsidR="003E70B5">
        <w:rPr>
          <w:rFonts w:eastAsia="Cambria"/>
        </w:rPr>
        <w:t xml:space="preserve">s constantly mixed with kaolin clay using a water pump. </w:t>
      </w:r>
      <w:r>
        <w:rPr>
          <w:rFonts w:eastAsia="Cambria"/>
          <w:color w:val="000000"/>
          <w:lang w:bidi="ar-SA"/>
        </w:rPr>
        <w:t xml:space="preserve">The team determined that only the fine pattern of the dual-range pattern was necessary, since the pattern alone could accurately measure turbidities from 5-200 NTU. This approach is based on resolution of the fine pattern within the </w:t>
      </w:r>
      <w:proofErr w:type="spellStart"/>
      <w:r>
        <w:rPr>
          <w:rFonts w:eastAsia="Cambria"/>
          <w:color w:val="000000"/>
          <w:lang w:bidi="ar-SA"/>
        </w:rPr>
        <w:t>turbidimeter</w:t>
      </w:r>
      <w:proofErr w:type="spellEnd"/>
      <w:r>
        <w:rPr>
          <w:rFonts w:eastAsia="Cambria"/>
          <w:color w:val="000000"/>
          <w:lang w:bidi="ar-SA"/>
        </w:rPr>
        <w:t xml:space="preserve"> as opposed to the use of contrast when using conventional </w:t>
      </w:r>
      <w:proofErr w:type="spellStart"/>
      <w:r>
        <w:rPr>
          <w:rFonts w:eastAsia="Cambria"/>
          <w:color w:val="000000"/>
          <w:lang w:bidi="ar-SA"/>
        </w:rPr>
        <w:t>Secchi</w:t>
      </w:r>
      <w:proofErr w:type="spellEnd"/>
      <w:r>
        <w:rPr>
          <w:rFonts w:eastAsia="Cambria"/>
          <w:color w:val="000000"/>
          <w:lang w:bidi="ar-SA"/>
        </w:rPr>
        <w:t xml:space="preserve"> disk patterns. </w:t>
      </w:r>
      <w:r w:rsidR="008F2834">
        <w:rPr>
          <w:rFonts w:eastAsia="Cambria"/>
          <w:color w:val="000000"/>
          <w:lang w:bidi="ar-SA"/>
        </w:rPr>
        <w:t xml:space="preserve">The fine-resolution pattern was used </w:t>
      </w:r>
      <w:r>
        <w:rPr>
          <w:rFonts w:eastAsia="Cambria"/>
          <w:color w:val="000000"/>
          <w:lang w:bidi="ar-SA"/>
        </w:rPr>
        <w:t xml:space="preserve">to create a low-cost </w:t>
      </w:r>
      <w:proofErr w:type="spellStart"/>
      <w:r>
        <w:rPr>
          <w:rFonts w:eastAsia="Cambria"/>
          <w:color w:val="000000"/>
          <w:lang w:bidi="ar-SA"/>
        </w:rPr>
        <w:t>turbidimeter</w:t>
      </w:r>
      <w:proofErr w:type="spellEnd"/>
      <w:r>
        <w:rPr>
          <w:rFonts w:eastAsia="Cambria"/>
          <w:color w:val="000000"/>
          <w:lang w:bidi="ar-SA"/>
        </w:rPr>
        <w:t xml:space="preserve"> prototype equipped with an NTU scale based on the pow</w:t>
      </w:r>
      <w:r w:rsidR="008F2834">
        <w:rPr>
          <w:rFonts w:eastAsia="Cambria"/>
          <w:color w:val="000000"/>
          <w:lang w:bidi="ar-SA"/>
        </w:rPr>
        <w:t>er-law equation derived from</w:t>
      </w:r>
      <w:r>
        <w:rPr>
          <w:rFonts w:eastAsia="Cambria"/>
          <w:color w:val="000000"/>
          <w:lang w:bidi="ar-SA"/>
        </w:rPr>
        <w:t xml:space="preserve"> experimental results. </w:t>
      </w:r>
    </w:p>
    <w:p w:rsidR="00000000" w:rsidRDefault="00FC5285">
      <w:pPr>
        <w:pStyle w:val="indent"/>
      </w:pPr>
    </w:p>
    <w:p w:rsidR="00F10866" w:rsidRPr="00AC09C0" w:rsidRDefault="00F10866" w:rsidP="00F10866">
      <w:pPr>
        <w:pStyle w:val="indent"/>
        <w:spacing w:line="360" w:lineRule="auto"/>
        <w:ind w:firstLine="0"/>
        <w:rPr>
          <w:szCs w:val="24"/>
        </w:rPr>
      </w:pPr>
      <w:proofErr w:type="spellStart"/>
      <w:r w:rsidRPr="00AC09C0">
        <w:rPr>
          <w:b/>
          <w:szCs w:val="24"/>
        </w:rPr>
        <w:t>Keywords</w:t>
      </w:r>
      <w:proofErr w:type="gramStart"/>
      <w:r w:rsidRPr="00AC09C0">
        <w:rPr>
          <w:szCs w:val="24"/>
        </w:rPr>
        <w:t>:</w:t>
      </w:r>
      <w:r w:rsidR="00B325B1">
        <w:rPr>
          <w:szCs w:val="24"/>
        </w:rPr>
        <w:t>low</w:t>
      </w:r>
      <w:proofErr w:type="spellEnd"/>
      <w:proofErr w:type="gramEnd"/>
      <w:r w:rsidR="00B325B1">
        <w:rPr>
          <w:szCs w:val="24"/>
        </w:rPr>
        <w:t>-cost</w:t>
      </w:r>
      <w:r w:rsidRPr="00AC09C0">
        <w:rPr>
          <w:szCs w:val="24"/>
        </w:rPr>
        <w:t xml:space="preserve"> </w:t>
      </w:r>
      <w:proofErr w:type="spellStart"/>
      <w:r w:rsidRPr="00AC09C0">
        <w:rPr>
          <w:szCs w:val="24"/>
        </w:rPr>
        <w:t>turbidimeter</w:t>
      </w:r>
      <w:proofErr w:type="spellEnd"/>
      <w:r w:rsidRPr="00AC09C0">
        <w:rPr>
          <w:szCs w:val="24"/>
        </w:rPr>
        <w:t xml:space="preserve">, AguaClara, LED </w:t>
      </w:r>
      <w:r w:rsidR="00B325B1">
        <w:rPr>
          <w:szCs w:val="24"/>
        </w:rPr>
        <w:t>Display Pattern</w:t>
      </w:r>
      <w:r w:rsidRPr="00AC09C0">
        <w:rPr>
          <w:szCs w:val="24"/>
        </w:rPr>
        <w:t xml:space="preserve">, turbidity, clay, </w:t>
      </w:r>
    </w:p>
    <w:p w:rsidR="002D3813" w:rsidRDefault="002D3813" w:rsidP="00F10866">
      <w:pPr>
        <w:pStyle w:val="indent"/>
        <w:spacing w:line="360" w:lineRule="auto"/>
        <w:ind w:firstLine="720"/>
        <w:rPr>
          <w:szCs w:val="24"/>
        </w:rPr>
      </w:pPr>
    </w:p>
    <w:p w:rsidR="002D3813" w:rsidRDefault="002D3813" w:rsidP="00F10866">
      <w:pPr>
        <w:pStyle w:val="indent"/>
        <w:spacing w:line="360" w:lineRule="auto"/>
        <w:ind w:firstLine="720"/>
        <w:rPr>
          <w:szCs w:val="24"/>
        </w:rPr>
      </w:pPr>
    </w:p>
    <w:p w:rsidR="00CE57D9" w:rsidRDefault="00CE57D9" w:rsidP="00801F82"/>
    <w:p w:rsidR="00CE57D9" w:rsidRDefault="00CE57D9" w:rsidP="00801F82"/>
    <w:p w:rsidR="00CE57D9" w:rsidRDefault="00CE57D9" w:rsidP="00801F82"/>
    <w:p w:rsidR="00CE57D9" w:rsidRDefault="00CE57D9" w:rsidP="00801F82"/>
    <w:p w:rsidR="00CE57D9" w:rsidRDefault="00CE57D9" w:rsidP="00801F82"/>
    <w:p w:rsidR="00CE57D9" w:rsidRDefault="00CE57D9" w:rsidP="00801F82"/>
    <w:p w:rsidR="00801F82" w:rsidRPr="00801F82" w:rsidRDefault="00801F82" w:rsidP="00801F82"/>
    <w:p w:rsidR="00F10866" w:rsidRPr="00191C1A" w:rsidRDefault="00F10866" w:rsidP="00191C1A">
      <w:pPr>
        <w:pStyle w:val="Heading2"/>
        <w:rPr>
          <w:b/>
          <w:i/>
        </w:rPr>
      </w:pPr>
      <w:r w:rsidRPr="00BD4121">
        <w:rPr>
          <w:b/>
          <w:i/>
        </w:rPr>
        <w:lastRenderedPageBreak/>
        <w:t xml:space="preserve">Introduction </w:t>
      </w:r>
    </w:p>
    <w:p w:rsidR="00D6643E" w:rsidRDefault="00F10866">
      <w:pPr>
        <w:pStyle w:val="indent"/>
      </w:pPr>
      <w:r w:rsidRPr="00523995">
        <w:t xml:space="preserve">The challenge faced by the </w:t>
      </w:r>
      <w:proofErr w:type="spellStart"/>
      <w:r w:rsidRPr="00523995">
        <w:t>turbidimeter</w:t>
      </w:r>
      <w:proofErr w:type="spellEnd"/>
      <w:r w:rsidRPr="00523995">
        <w:t xml:space="preserve"> team </w:t>
      </w:r>
      <w:r w:rsidR="002D3813">
        <w:t>wa</w:t>
      </w:r>
      <w:r w:rsidRPr="00523995">
        <w:t>s to create a device capable of measuring turbidity over a wide range (5 NTU to 250 NTU) with greater than 50% accuracy</w:t>
      </w:r>
      <w:r w:rsidR="002D3813">
        <w:t xml:space="preserve"> at a</w:t>
      </w:r>
      <w:r w:rsidRPr="00523995">
        <w:t xml:space="preserve"> cost</w:t>
      </w:r>
      <w:r w:rsidR="002D3813">
        <w:t xml:space="preserve"> of</w:t>
      </w:r>
      <w:r w:rsidRPr="00523995">
        <w:t xml:space="preserve"> less than $20. Traditionally, low-cost turbidity measurements involve submerging a </w:t>
      </w:r>
      <w:proofErr w:type="spellStart"/>
      <w:r w:rsidRPr="00523995">
        <w:t>Secchi</w:t>
      </w:r>
      <w:proofErr w:type="spellEnd"/>
      <w:r w:rsidRPr="00523995">
        <w:t xml:space="preserve"> Disk in a water body and measuring the distance where the disk becomes indistinguishable, as there is an inverse relationship between depth and turbidity.</w:t>
      </w:r>
      <w:r w:rsidR="003C7CDD">
        <w:t xml:space="preserve"> </w:t>
      </w:r>
      <w:proofErr w:type="spellStart"/>
      <w:r w:rsidR="003C7CDD">
        <w:t>Secchi</w:t>
      </w:r>
      <w:proofErr w:type="spellEnd"/>
      <w:r w:rsidR="003C7CDD">
        <w:t xml:space="preserve"> disk turbidimeters require expensive transparent tubes and a light source. The light source requirement prevent</w:t>
      </w:r>
      <w:r w:rsidR="002D3813">
        <w:t>s</w:t>
      </w:r>
      <w:r w:rsidR="003C7CDD">
        <w:t xml:space="preserve"> </w:t>
      </w:r>
      <w:proofErr w:type="spellStart"/>
      <w:r w:rsidR="003C7CDD">
        <w:t>Secchi</w:t>
      </w:r>
      <w:proofErr w:type="spellEnd"/>
      <w:r w:rsidR="003C7CDD">
        <w:t xml:space="preserve"> disk turbidimeters from being used at nighttime</w:t>
      </w:r>
      <w:r w:rsidR="00D6643E">
        <w:t>.</w:t>
      </w:r>
      <w:r w:rsidR="003C7CDD">
        <w:t xml:space="preserve"> </w:t>
      </w:r>
      <w:r w:rsidR="00D6643E">
        <w:t xml:space="preserve">To improve on the </w:t>
      </w:r>
      <w:proofErr w:type="spellStart"/>
      <w:r w:rsidR="00D6643E">
        <w:t>Secchi</w:t>
      </w:r>
      <w:proofErr w:type="spellEnd"/>
      <w:r w:rsidR="00D6643E">
        <w:t xml:space="preserve"> disk </w:t>
      </w:r>
      <w:proofErr w:type="spellStart"/>
      <w:r w:rsidR="00D6643E">
        <w:t>turbidimeter</w:t>
      </w:r>
      <w:proofErr w:type="spellEnd"/>
      <w:r w:rsidRPr="00523995">
        <w:t xml:space="preserve">, we </w:t>
      </w:r>
      <w:r w:rsidR="002D3813">
        <w:t>created a</w:t>
      </w:r>
      <w:r w:rsidRPr="00523995">
        <w:t xml:space="preserve"> portable, small-scale prototype</w:t>
      </w:r>
      <w:r w:rsidR="005659BD">
        <w:t xml:space="preserve"> using</w:t>
      </w:r>
      <w:r w:rsidRPr="00523995">
        <w:t xml:space="preserve"> a</w:t>
      </w:r>
      <w:r w:rsidR="005659BD">
        <w:t xml:space="preserve"> PVC pipe that is</w:t>
      </w:r>
      <w:r w:rsidRPr="00523995">
        <w:t xml:space="preserve"> </w:t>
      </w:r>
      <w:r w:rsidR="002D3813">
        <w:t>70 c</w:t>
      </w:r>
      <w:r w:rsidR="00D6643E">
        <w:t>m long</w:t>
      </w:r>
      <w:r w:rsidR="005659BD">
        <w:t xml:space="preserve"> with a</w:t>
      </w:r>
      <w:r w:rsidR="00D6643E">
        <w:t xml:space="preserve"> 5 cm diameter</w:t>
      </w:r>
      <w:r w:rsidR="005659BD">
        <w:t>. V</w:t>
      </w:r>
      <w:r w:rsidRPr="00523995">
        <w:t xml:space="preserve">arying </w:t>
      </w:r>
      <w:r w:rsidR="00D75984">
        <w:t>patterns</w:t>
      </w:r>
      <w:r w:rsidR="00D75984" w:rsidRPr="00523995">
        <w:t xml:space="preserve"> </w:t>
      </w:r>
      <w:r w:rsidR="00D75984">
        <w:t>on the</w:t>
      </w:r>
      <w:r w:rsidR="00D75984" w:rsidRPr="00523995">
        <w:t xml:space="preserve"> </w:t>
      </w:r>
      <w:r w:rsidRPr="00523995">
        <w:t>LED</w:t>
      </w:r>
      <w:r w:rsidR="00D6643E">
        <w:t xml:space="preserve"> display</w:t>
      </w:r>
      <w:r w:rsidR="005659BD">
        <w:t xml:space="preserve"> </w:t>
      </w:r>
      <w:r w:rsidR="002D3813">
        <w:t>were</w:t>
      </w:r>
      <w:r w:rsidR="005659BD">
        <w:t xml:space="preserve"> tested to </w:t>
      </w:r>
      <w:r w:rsidR="00D6643E">
        <w:t xml:space="preserve">replace the </w:t>
      </w:r>
      <w:proofErr w:type="spellStart"/>
      <w:r w:rsidR="00D6643E">
        <w:t>Secchi</w:t>
      </w:r>
      <w:proofErr w:type="spellEnd"/>
      <w:r w:rsidR="00D6643E">
        <w:t xml:space="preserve"> disk</w:t>
      </w:r>
      <w:r w:rsidRPr="00523995">
        <w:t>. A range of water samples with known turbidit</w:t>
      </w:r>
      <w:r w:rsidR="002D3813">
        <w:t>ies</w:t>
      </w:r>
      <w:r w:rsidRPr="00523995">
        <w:t xml:space="preserve"> </w:t>
      </w:r>
      <w:r w:rsidR="002F6389">
        <w:t>were used</w:t>
      </w:r>
      <w:r w:rsidRPr="00523995">
        <w:t xml:space="preserve"> to calibrate each prototype </w:t>
      </w:r>
      <w:r w:rsidR="002F6389">
        <w:t>for</w:t>
      </w:r>
      <w:r w:rsidR="002F6389" w:rsidRPr="00523995">
        <w:t xml:space="preserve"> </w:t>
      </w:r>
      <w:r w:rsidRPr="00523995">
        <w:t>determi</w:t>
      </w:r>
      <w:r w:rsidR="002F6389">
        <w:t>ning</w:t>
      </w:r>
      <w:r w:rsidRPr="00523995">
        <w:t xml:space="preserve"> the coefficients (</w:t>
      </w:r>
      <w:proofErr w:type="gramStart"/>
      <w:r w:rsidRPr="00523995">
        <w:t>a and</w:t>
      </w:r>
      <w:proofErr w:type="gramEnd"/>
      <w:r w:rsidRPr="00523995">
        <w:t xml:space="preserve"> b) of the following assumed power law relationship.</w:t>
      </w:r>
    </w:p>
    <w:p w:rsidR="00D6643E" w:rsidRDefault="00523995" w:rsidP="00292E49">
      <w:pPr>
        <w:pStyle w:val="Equation"/>
      </w:pPr>
      <w:r>
        <w:tab/>
      </w:r>
      <w:r w:rsidR="00D6643E" w:rsidRPr="00292E49">
        <w:rPr>
          <w:lang w:bidi="ar-SA"/>
        </w:rPr>
        <w:drawing>
          <wp:inline distT="0" distB="0" distL="0" distR="0">
            <wp:extent cx="2971800" cy="257175"/>
            <wp:effectExtent l="19050" t="0" r="0" b="0"/>
            <wp:docPr id="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cstate="print"/>
                    <a:srcRect/>
                    <a:stretch>
                      <a:fillRect/>
                    </a:stretch>
                  </pic:blipFill>
                  <pic:spPr bwMode="auto">
                    <a:xfrm>
                      <a:off x="0" y="0"/>
                      <a:ext cx="2971800" cy="257175"/>
                    </a:xfrm>
                    <a:prstGeom prst="rect">
                      <a:avLst/>
                    </a:prstGeom>
                    <a:noFill/>
                    <a:ln w="9525">
                      <a:noFill/>
                      <a:miter lim="800000"/>
                      <a:headEnd/>
                      <a:tailEnd/>
                    </a:ln>
                  </pic:spPr>
                </pic:pic>
              </a:graphicData>
            </a:graphic>
          </wp:inline>
        </w:drawing>
      </w:r>
      <w:r>
        <w:tab/>
        <w:t>(</w:t>
      </w:r>
      <w:r w:rsidR="00B85D08">
        <w:fldChar w:fldCharType="begin"/>
      </w:r>
      <w:r w:rsidR="001622AE">
        <w:instrText xml:space="preserve"> SEQ Equation \* ARABIC </w:instrText>
      </w:r>
      <w:r w:rsidR="00B85D08">
        <w:fldChar w:fldCharType="separate"/>
      </w:r>
      <w:bookmarkStart w:id="0" w:name="_Ref267062844"/>
      <w:r>
        <w:t>1</w:t>
      </w:r>
      <w:bookmarkEnd w:id="0"/>
      <w:r w:rsidR="00B85D08">
        <w:fldChar w:fldCharType="end"/>
      </w:r>
      <w:r>
        <w:t>)</w:t>
      </w:r>
    </w:p>
    <w:p w:rsidR="00191C1A" w:rsidRDefault="00191C1A" w:rsidP="00191C1A">
      <w:pPr>
        <w:pStyle w:val="Equation"/>
      </w:pPr>
    </w:p>
    <w:p w:rsidR="00321C5E" w:rsidRDefault="00F10866" w:rsidP="0092050C">
      <w:pPr>
        <w:pStyle w:val="indent"/>
        <w:ind w:firstLine="0"/>
        <w:rPr>
          <w:b/>
          <w:i/>
          <w:sz w:val="28"/>
          <w:szCs w:val="28"/>
        </w:rPr>
      </w:pPr>
      <w:r w:rsidRPr="00AC09C0">
        <w:t xml:space="preserve">The challenge rests in measuring lower levels of turbidity with accuracy. </w:t>
      </w:r>
      <w:r w:rsidR="002F6389">
        <w:t>At first, the team thought it would be</w:t>
      </w:r>
      <w:r w:rsidRPr="00AC09C0">
        <w:t xml:space="preserve"> impossible to cover </w:t>
      </w:r>
      <w:r w:rsidR="002F6389">
        <w:t>a</w:t>
      </w:r>
      <w:r w:rsidRPr="00AC09C0">
        <w:t xml:space="preserve"> wide turbidity range</w:t>
      </w:r>
      <w:r w:rsidR="002F6389">
        <w:t xml:space="preserve"> (5-250 NTU)</w:t>
      </w:r>
      <w:r w:rsidRPr="00AC09C0">
        <w:t xml:space="preserve"> with one </w:t>
      </w:r>
      <w:r w:rsidR="00D6643E">
        <w:t>LED display pattern</w:t>
      </w:r>
      <w:r w:rsidRPr="00AC09C0">
        <w:t xml:space="preserve">. </w:t>
      </w:r>
      <w:r w:rsidR="00490B0D">
        <w:rPr>
          <w:rFonts w:eastAsia="Cambria"/>
          <w:lang w:bidi="ar-SA"/>
        </w:rPr>
        <w:t xml:space="preserve">The team proposed using a dual-range turbidity scale using both a fine pattern for measuring lower turbidities and a different pattern for measuring higher turbidities. </w:t>
      </w:r>
      <w:r w:rsidR="00211037">
        <w:rPr>
          <w:rFonts w:eastAsia="Cambria"/>
          <w:color w:val="000000"/>
          <w:lang w:bidi="ar-SA"/>
        </w:rPr>
        <w:t xml:space="preserve">In the end, the team discovered that the fine pattern alone allowed for measurement of turbidities from below 5 NTU to above 200 NTU. This result allowed the team to conclude that using a simple, fine pattern allowed measurement of a broader range of turbidities by resolution of the fine pattern at different depths in our </w:t>
      </w:r>
      <w:proofErr w:type="spellStart"/>
      <w:r w:rsidR="00211037">
        <w:rPr>
          <w:rFonts w:eastAsia="Cambria"/>
          <w:color w:val="000000"/>
          <w:lang w:bidi="ar-SA"/>
        </w:rPr>
        <w:lastRenderedPageBreak/>
        <w:t>turbidimeter</w:t>
      </w:r>
      <w:proofErr w:type="spellEnd"/>
      <w:r w:rsidR="00211037">
        <w:rPr>
          <w:rFonts w:eastAsia="Cambria"/>
          <w:color w:val="000000"/>
          <w:lang w:bidi="ar-SA"/>
        </w:rPr>
        <w:t xml:space="preserve">. This is a different approach from the conventional </w:t>
      </w:r>
      <w:proofErr w:type="spellStart"/>
      <w:r w:rsidR="00211037">
        <w:rPr>
          <w:rFonts w:eastAsia="Cambria"/>
          <w:color w:val="000000"/>
          <w:lang w:bidi="ar-SA"/>
        </w:rPr>
        <w:t>Secchi</w:t>
      </w:r>
      <w:proofErr w:type="spellEnd"/>
      <w:r w:rsidR="00211037">
        <w:rPr>
          <w:rFonts w:eastAsia="Cambria"/>
          <w:color w:val="000000"/>
          <w:lang w:bidi="ar-SA"/>
        </w:rPr>
        <w:t xml:space="preserve"> disk pattern that uses contrast to relate the depth of </w:t>
      </w:r>
      <w:proofErr w:type="spellStart"/>
      <w:r w:rsidR="00211037">
        <w:rPr>
          <w:rFonts w:eastAsia="Cambria"/>
          <w:color w:val="000000"/>
          <w:lang w:bidi="ar-SA"/>
        </w:rPr>
        <w:t>Secchi</w:t>
      </w:r>
      <w:proofErr w:type="spellEnd"/>
      <w:r w:rsidR="00211037">
        <w:rPr>
          <w:rFonts w:eastAsia="Cambria"/>
          <w:color w:val="000000"/>
          <w:lang w:bidi="ar-SA"/>
        </w:rPr>
        <w:t xml:space="preserve"> disk disappearance to water turbidity, allowing measurement of a smaller range limited to higher turbidities. The results of our experiments with the fine pattern allowed the team to build a turbidity scale based on a pow</w:t>
      </w:r>
      <w:r w:rsidR="00807954">
        <w:rPr>
          <w:rFonts w:eastAsia="Cambria"/>
          <w:color w:val="000000"/>
          <w:lang w:bidi="ar-SA"/>
        </w:rPr>
        <w:t>er-law relationship that relates</w:t>
      </w:r>
      <w:r w:rsidR="00211037">
        <w:rPr>
          <w:rFonts w:eastAsia="Cambria"/>
          <w:color w:val="000000"/>
          <w:lang w:bidi="ar-SA"/>
        </w:rPr>
        <w:t xml:space="preserve"> the depth of resolving the fine pattern to </w:t>
      </w:r>
      <w:proofErr w:type="gramStart"/>
      <w:r w:rsidR="00211037">
        <w:rPr>
          <w:rFonts w:eastAsia="Cambria"/>
          <w:color w:val="000000"/>
          <w:lang w:bidi="ar-SA"/>
        </w:rPr>
        <w:t>a known</w:t>
      </w:r>
      <w:proofErr w:type="gramEnd"/>
      <w:r w:rsidR="00211037">
        <w:rPr>
          <w:rFonts w:eastAsia="Cambria"/>
          <w:color w:val="000000"/>
          <w:lang w:bidi="ar-SA"/>
        </w:rPr>
        <w:t xml:space="preserve"> water turbidity. </w:t>
      </w:r>
    </w:p>
    <w:p w:rsidR="0092050C" w:rsidRPr="00A16060" w:rsidRDefault="008F3662" w:rsidP="0092050C">
      <w:pPr>
        <w:pStyle w:val="indent"/>
        <w:ind w:firstLine="0"/>
        <w:rPr>
          <w:b/>
          <w:i/>
          <w:sz w:val="28"/>
          <w:szCs w:val="28"/>
        </w:rPr>
      </w:pPr>
      <w:r w:rsidRPr="008F3662">
        <w:rPr>
          <w:b/>
          <w:i/>
          <w:sz w:val="28"/>
          <w:szCs w:val="28"/>
        </w:rPr>
        <w:t>Literature Review</w:t>
      </w:r>
    </w:p>
    <w:p w:rsidR="00D6643E" w:rsidRDefault="0092050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line="480" w:lineRule="auto"/>
        <w:rPr>
          <w:rFonts w:eastAsia="Cambria"/>
          <w:lang w:bidi="ar-SA"/>
        </w:rPr>
      </w:pPr>
      <w:r>
        <w:rPr>
          <w:rFonts w:eastAsia="Cambria"/>
          <w:lang w:bidi="ar-SA"/>
        </w:rPr>
        <w:tab/>
        <w:t xml:space="preserve">The optically relevant substances contained in water sources include phytoplankton, organic detritus, suspended mineral sediment, algae, bacteria, and other dissolved organic matter. Each of </w:t>
      </w:r>
      <w:proofErr w:type="gramStart"/>
      <w:r>
        <w:rPr>
          <w:rFonts w:eastAsia="Cambria"/>
          <w:lang w:bidi="ar-SA"/>
        </w:rPr>
        <w:t>these substance</w:t>
      </w:r>
      <w:proofErr w:type="gramEnd"/>
      <w:r>
        <w:rPr>
          <w:rFonts w:eastAsia="Cambria"/>
          <w:lang w:bidi="ar-SA"/>
        </w:rPr>
        <w:t xml:space="preserve"> has specific absorptions and both backscattering and forward scattering properties of light. </w:t>
      </w:r>
      <w:r w:rsidR="005659BD">
        <w:rPr>
          <w:rFonts w:eastAsia="Cambria"/>
          <w:lang w:bidi="ar-SA"/>
        </w:rPr>
        <w:t xml:space="preserve">(Ferrari, et al., 2005) </w:t>
      </w:r>
      <w:r>
        <w:rPr>
          <w:rFonts w:eastAsia="Cambria"/>
          <w:lang w:bidi="ar-SA"/>
        </w:rPr>
        <w:t xml:space="preserve">For this reason, modeling turbid water by using only dissolved kaolin clay does not give the same turbidity in a </w:t>
      </w:r>
      <w:proofErr w:type="spellStart"/>
      <w:r>
        <w:rPr>
          <w:rFonts w:eastAsia="Cambria"/>
          <w:lang w:bidi="ar-SA"/>
        </w:rPr>
        <w:t>nephelometer</w:t>
      </w:r>
      <w:proofErr w:type="spellEnd"/>
      <w:r>
        <w:rPr>
          <w:rFonts w:eastAsia="Cambria"/>
          <w:lang w:bidi="ar-SA"/>
        </w:rPr>
        <w:t xml:space="preserve"> as would an equal mass of </w:t>
      </w:r>
      <w:r w:rsidR="00D6643E">
        <w:rPr>
          <w:rFonts w:eastAsia="Cambria"/>
          <w:lang w:bidi="ar-SA"/>
        </w:rPr>
        <w:t>a mixture of surface water particles</w:t>
      </w:r>
      <w:r>
        <w:rPr>
          <w:rFonts w:eastAsia="Cambria"/>
          <w:lang w:bidi="ar-SA"/>
        </w:rPr>
        <w:t>. It follows that for different water samples of equal</w:t>
      </w:r>
      <w:r w:rsidR="00D6643E">
        <w:rPr>
          <w:rFonts w:eastAsia="Cambria"/>
          <w:lang w:bidi="ar-SA"/>
        </w:rPr>
        <w:t xml:space="preserve"> </w:t>
      </w:r>
      <w:proofErr w:type="gramStart"/>
      <w:r w:rsidR="00D6643E">
        <w:rPr>
          <w:rFonts w:eastAsia="Cambria"/>
          <w:lang w:bidi="ar-SA"/>
        </w:rPr>
        <w:t xml:space="preserve">particulate </w:t>
      </w:r>
      <w:r>
        <w:rPr>
          <w:rFonts w:eastAsia="Cambria"/>
          <w:lang w:bidi="ar-SA"/>
        </w:rPr>
        <w:t xml:space="preserve"> mass</w:t>
      </w:r>
      <w:proofErr w:type="gramEnd"/>
      <w:r>
        <w:rPr>
          <w:rFonts w:eastAsia="Cambria"/>
          <w:lang w:bidi="ar-SA"/>
        </w:rPr>
        <w:t xml:space="preserve"> in our </w:t>
      </w:r>
      <w:proofErr w:type="spellStart"/>
      <w:r>
        <w:rPr>
          <w:rFonts w:eastAsia="Cambria"/>
          <w:lang w:bidi="ar-SA"/>
        </w:rPr>
        <w:t>turbidimeter</w:t>
      </w:r>
      <w:proofErr w:type="spellEnd"/>
      <w:r>
        <w:rPr>
          <w:rFonts w:eastAsia="Cambria"/>
          <w:lang w:bidi="ar-SA"/>
        </w:rPr>
        <w:t xml:space="preserve"> the forward light scattered that reaches the observer’s eye is different due to the different light-scattering properties </w:t>
      </w:r>
      <w:r w:rsidR="00D6643E">
        <w:rPr>
          <w:rFonts w:eastAsia="Cambria"/>
          <w:lang w:bidi="ar-SA"/>
        </w:rPr>
        <w:t>the particles in the samples</w:t>
      </w:r>
      <w:r>
        <w:rPr>
          <w:rFonts w:eastAsia="Cambria"/>
          <w:lang w:bidi="ar-SA"/>
        </w:rPr>
        <w:t xml:space="preserve">. </w:t>
      </w:r>
    </w:p>
    <w:p w:rsidR="00D6643E" w:rsidRDefault="0092050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line="480" w:lineRule="auto"/>
        <w:rPr>
          <w:rFonts w:eastAsia="Cambria"/>
          <w:lang w:bidi="ar-SA"/>
        </w:rPr>
      </w:pPr>
      <w:r>
        <w:rPr>
          <w:rFonts w:eastAsia="Cambria"/>
          <w:lang w:bidi="ar-SA"/>
        </w:rPr>
        <w:tab/>
        <w:t xml:space="preserve">A </w:t>
      </w:r>
      <w:proofErr w:type="spellStart"/>
      <w:r>
        <w:rPr>
          <w:rFonts w:eastAsia="Cambria"/>
          <w:lang w:bidi="ar-SA"/>
        </w:rPr>
        <w:t>nephelometer</w:t>
      </w:r>
      <w:proofErr w:type="spellEnd"/>
      <w:r>
        <w:rPr>
          <w:rFonts w:eastAsia="Cambria"/>
          <w:lang w:bidi="ar-SA"/>
        </w:rPr>
        <w:t xml:space="preserve"> uses these light-scattering properties to measure turbidity by passing a beam of light through the water sample and measuring the light scattered at a detector placed at a 90º angle from the source of the light beam. This is made possible by taking into account the </w:t>
      </w:r>
      <w:proofErr w:type="spellStart"/>
      <w:r>
        <w:rPr>
          <w:rFonts w:eastAsia="Cambria"/>
          <w:lang w:bidi="ar-SA"/>
        </w:rPr>
        <w:t>absorbances</w:t>
      </w:r>
      <w:proofErr w:type="spellEnd"/>
      <w:r>
        <w:rPr>
          <w:rFonts w:eastAsia="Cambria"/>
          <w:lang w:bidi="ar-SA"/>
        </w:rPr>
        <w:t xml:space="preserve"> and scattering properties of the different types of solids that are commonly suspended in natural water sources. However, if the scattering </w:t>
      </w:r>
      <w:proofErr w:type="gramStart"/>
      <w:r>
        <w:rPr>
          <w:rFonts w:eastAsia="Cambria"/>
          <w:lang w:bidi="ar-SA"/>
        </w:rPr>
        <w:t>properties of the solids in two different water samples differs</w:t>
      </w:r>
      <w:proofErr w:type="gramEnd"/>
      <w:r>
        <w:rPr>
          <w:rFonts w:eastAsia="Cambria"/>
          <w:lang w:bidi="ar-SA"/>
        </w:rPr>
        <w:t xml:space="preserve"> (which is often the case, since different aquatic biomes will contain different optically relevant substances in </w:t>
      </w:r>
      <w:r>
        <w:rPr>
          <w:rFonts w:eastAsia="Cambria"/>
          <w:lang w:bidi="ar-SA"/>
        </w:rPr>
        <w:lastRenderedPageBreak/>
        <w:t xml:space="preserve">different proportions), a </w:t>
      </w:r>
      <w:proofErr w:type="spellStart"/>
      <w:r>
        <w:rPr>
          <w:rFonts w:eastAsia="Cambria"/>
          <w:lang w:bidi="ar-SA"/>
        </w:rPr>
        <w:t>nephelometer</w:t>
      </w:r>
      <w:proofErr w:type="spellEnd"/>
      <w:r>
        <w:rPr>
          <w:rFonts w:eastAsia="Cambria"/>
          <w:lang w:bidi="ar-SA"/>
        </w:rPr>
        <w:t xml:space="preserve"> can give different NTU values for two homogenous water samples containing equal masses of particles distributed in the water. </w:t>
      </w:r>
    </w:p>
    <w:p w:rsidR="00D6643E" w:rsidRDefault="0092050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line="480" w:lineRule="auto"/>
        <w:rPr>
          <w:rFonts w:eastAsia="Cambria"/>
          <w:lang w:bidi="ar-SA"/>
        </w:rPr>
      </w:pPr>
      <w:r>
        <w:rPr>
          <w:rFonts w:eastAsia="Cambria"/>
          <w:lang w:bidi="ar-SA"/>
        </w:rPr>
        <w:tab/>
        <w:t xml:space="preserve">The different proportions of optically relevant substances in a turbidity tube are not as important for turbidity measurement because a turbidity tube uses the simplified correlation between visibility and turbidity for a turbidity measurement. Turbidity becomes visible to the eye at approximately 5 NTU in a clear container. With a white, nontransparent tube, the only direction of light scattering of a light source (i.e., LED light) being used to assess the turbidity is the forward scattering of the particles in the direction of the observer’s eye. Thus, for two different water samples with optically relevant substances taken from the same water source, a turbidity tube should give similar depths of non-visibility, since only the forward-scattering particles are contributing to the direction of light reaching the observer’s eye. In addition, certain particles in water, such as algae and colloidal </w:t>
      </w:r>
      <w:proofErr w:type="gramStart"/>
      <w:r>
        <w:rPr>
          <w:rFonts w:eastAsia="Cambria"/>
          <w:lang w:bidi="ar-SA"/>
        </w:rPr>
        <w:t>particles,</w:t>
      </w:r>
      <w:proofErr w:type="gramEnd"/>
      <w:r>
        <w:rPr>
          <w:rFonts w:eastAsia="Cambria"/>
          <w:lang w:bidi="ar-SA"/>
        </w:rPr>
        <w:t xml:space="preserve"> can be more easily distinguished by the eye when illuminated by the light source. Thus, looking into the water sample could also allow the observer to determine the need for disinfection in the water-treatment phase. Disinfection by chlorination is more effective at turbidities of less than 5 NTU, since at higher turbidities disinfection byproducts may form with the high concentration of organic matter present in the water source. </w:t>
      </w:r>
      <w:r w:rsidR="005659BD">
        <w:rPr>
          <w:rFonts w:eastAsia="Cambria"/>
          <w:lang w:bidi="ar-SA"/>
        </w:rPr>
        <w:t>(</w:t>
      </w:r>
      <w:proofErr w:type="spellStart"/>
      <w:r w:rsidR="005659BD">
        <w:rPr>
          <w:rFonts w:eastAsia="Cambria"/>
          <w:lang w:bidi="ar-SA"/>
        </w:rPr>
        <w:t>Myre</w:t>
      </w:r>
      <w:proofErr w:type="spellEnd"/>
      <w:r w:rsidR="005659BD">
        <w:rPr>
          <w:rFonts w:eastAsia="Cambria"/>
          <w:lang w:bidi="ar-SA"/>
        </w:rPr>
        <w:t xml:space="preserve">, et al., 2006) </w:t>
      </w:r>
      <w:r w:rsidR="00736045">
        <w:rPr>
          <w:rFonts w:eastAsia="Cambria"/>
          <w:lang w:bidi="ar-SA"/>
        </w:rPr>
        <w:t>The chlorine demand also tends to increase with turbidity and thus high turbidity samples tend to require excessively high chlorine dosages to maintain chlorine residual.</w:t>
      </w:r>
    </w:p>
    <w:p w:rsidR="00CE57D9" w:rsidRDefault="00CE57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line="480" w:lineRule="auto"/>
        <w:rPr>
          <w:rFonts w:eastAsia="Cambria"/>
          <w:lang w:bidi="ar-SA"/>
        </w:rPr>
      </w:pPr>
    </w:p>
    <w:p w:rsidR="00CE57D9" w:rsidRDefault="00CE57D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line="480" w:lineRule="auto"/>
        <w:rPr>
          <w:rFonts w:eastAsia="Cambria"/>
          <w:lang w:bidi="ar-SA"/>
        </w:rPr>
      </w:pPr>
    </w:p>
    <w:p w:rsidR="00F342E5" w:rsidRDefault="00F342E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0" w:line="480" w:lineRule="auto"/>
        <w:rPr>
          <w:rFonts w:eastAsia="Cambria"/>
          <w:lang w:bidi="ar-SA"/>
        </w:rPr>
      </w:pPr>
    </w:p>
    <w:p w:rsidR="00000000" w:rsidRDefault="00191C1A">
      <w:pPr>
        <w:pStyle w:val="Heading2"/>
        <w:rPr>
          <w:rStyle w:val="SubtleEmphasis"/>
          <w:bCs w:val="0"/>
          <w:iCs/>
          <w:noProof/>
          <w:sz w:val="24"/>
          <w:szCs w:val="24"/>
        </w:rPr>
      </w:pPr>
      <w:r w:rsidRPr="00BD4121">
        <w:rPr>
          <w:b/>
          <w:i/>
        </w:rPr>
        <w:lastRenderedPageBreak/>
        <w:t>Experimental Design</w:t>
      </w:r>
    </w:p>
    <w:p w:rsidR="00000000" w:rsidRDefault="001D4E2E">
      <w:pPr>
        <w:spacing w:line="480" w:lineRule="auto"/>
      </w:pPr>
      <w:r>
        <w:tab/>
        <w:t xml:space="preserve">The team’s ultimate goal </w:t>
      </w:r>
      <w:r w:rsidR="00E6247C">
        <w:t>wa</w:t>
      </w:r>
      <w:r>
        <w:t xml:space="preserve">s to be able to accurately measure turbidity from 5 NTU to 250 NTU. To do this </w:t>
      </w:r>
      <w:r w:rsidR="00457F28">
        <w:t xml:space="preserve">the </w:t>
      </w:r>
      <w:r>
        <w:t xml:space="preserve">team </w:t>
      </w:r>
      <w:r w:rsidR="00E6247C">
        <w:t>needed</w:t>
      </w:r>
      <w:r>
        <w:t xml:space="preserve"> to develop a display </w:t>
      </w:r>
      <w:proofErr w:type="gramStart"/>
      <w:r w:rsidR="0083387B">
        <w:t>design</w:t>
      </w:r>
      <w:r>
        <w:t xml:space="preserve">  optimal</w:t>
      </w:r>
      <w:proofErr w:type="gramEnd"/>
      <w:r>
        <w:t xml:space="preserve"> for detecting low as well as high levels of turbidity</w:t>
      </w:r>
      <w:r w:rsidR="00457F28">
        <w:t>.</w:t>
      </w:r>
      <w:r>
        <w:t xml:space="preserve"> </w:t>
      </w:r>
      <w:r w:rsidR="0083387B">
        <w:t xml:space="preserve"> Before the team considered using a dual-range overlay design, we tested the designs shown in Figure 2.</w:t>
      </w:r>
    </w:p>
    <w:p w:rsidR="00EA1992" w:rsidRDefault="0053320E" w:rsidP="00EA1992">
      <w:pPr>
        <w:spacing w:line="480" w:lineRule="auto"/>
        <w:ind w:firstLine="720"/>
      </w:pPr>
      <w:r>
        <w:t xml:space="preserve">The basic design components of </w:t>
      </w:r>
      <w:r w:rsidR="00EA1992">
        <w:t xml:space="preserve">the </w:t>
      </w:r>
      <w:r w:rsidR="00E6247C">
        <w:t>AguaClara</w:t>
      </w:r>
      <w:r>
        <w:t xml:space="preserve"> portable </w:t>
      </w:r>
      <w:proofErr w:type="spellStart"/>
      <w:r>
        <w:t>turbidimeter</w:t>
      </w:r>
      <w:proofErr w:type="spellEnd"/>
      <w:r>
        <w:t xml:space="preserve"> include: (1) a PVC tube as the </w:t>
      </w:r>
      <w:proofErr w:type="spellStart"/>
      <w:r>
        <w:t>turbidimeter</w:t>
      </w:r>
      <w:proofErr w:type="spellEnd"/>
      <w:r>
        <w:t xml:space="preserve"> body, (2) an LED </w:t>
      </w:r>
      <w:r w:rsidR="00D6643E">
        <w:t>display</w:t>
      </w:r>
      <w:r>
        <w:t xml:space="preserve"> and overlay design used to test the criteria for visibility through the</w:t>
      </w:r>
      <w:r w:rsidR="00E6247C">
        <w:t xml:space="preserve"> water</w:t>
      </w:r>
      <w:r>
        <w:t xml:space="preserve"> sample, and </w:t>
      </w:r>
      <w:r w:rsidR="007D6D4F">
        <w:t xml:space="preserve">(3) </w:t>
      </w:r>
      <w:r>
        <w:t xml:space="preserve">a measuring rod to lower the LED </w:t>
      </w:r>
      <w:r w:rsidR="00D6643E">
        <w:t>display</w:t>
      </w:r>
      <w:r>
        <w:t xml:space="preserve"> </w:t>
      </w:r>
      <w:r w:rsidR="00587F9F">
        <w:t xml:space="preserve">into the tube body </w:t>
      </w:r>
      <w:r>
        <w:t xml:space="preserve">(Figure 1 &amp; Figure 2). </w:t>
      </w:r>
    </w:p>
    <w:p w:rsidR="002D4929" w:rsidRPr="00321C5E" w:rsidRDefault="00B85D08" w:rsidP="00321C5E">
      <w:pPr>
        <w:pStyle w:val="Graph"/>
      </w:pPr>
      <w:r>
        <w:rPr>
          <w:noProof/>
          <w:lang w:eastAsia="zh-TW"/>
        </w:rPr>
        <w:pict>
          <v:shapetype id="_x0000_t202" coordsize="21600,21600" o:spt="202" path="m,l,21600r21600,l21600,xe">
            <v:stroke joinstyle="miter"/>
            <v:path gradientshapeok="t" o:connecttype="rect"/>
          </v:shapetype>
          <v:shape id="_x0000_s1030" type="#_x0000_t202" style="position:absolute;margin-left:308.9pt;margin-top:11.55pt;width:105.1pt;height:27.55pt;z-index:-251645952;mso-width-relative:margin;mso-height-relative:margin" strokecolor="white [3212]">
            <v:textbox style="mso-next-textbox:#_x0000_s1030">
              <w:txbxContent>
                <w:p w:rsidR="00321C5E" w:rsidRPr="00321C5E" w:rsidRDefault="00321C5E">
                  <w:pPr>
                    <w:rPr>
                      <w:sz w:val="22"/>
                      <w:szCs w:val="22"/>
                    </w:rPr>
                  </w:pPr>
                  <w:r w:rsidRPr="00321C5E">
                    <w:rPr>
                      <w:sz w:val="22"/>
                      <w:szCs w:val="22"/>
                    </w:rPr>
                    <w:t>C. Lower</w:t>
                  </w:r>
                  <w:r w:rsidR="001D0149">
                    <w:rPr>
                      <w:sz w:val="22"/>
                      <w:szCs w:val="22"/>
                    </w:rPr>
                    <w:t>ing</w:t>
                  </w:r>
                  <w:r w:rsidRPr="00321C5E">
                    <w:rPr>
                      <w:sz w:val="22"/>
                      <w:szCs w:val="22"/>
                    </w:rPr>
                    <w:t xml:space="preserve"> Rod</w:t>
                  </w:r>
                </w:p>
              </w:txbxContent>
            </v:textbox>
          </v:shape>
        </w:pict>
      </w:r>
      <w:r w:rsidR="00292E49" w:rsidRPr="00321C5E">
        <w:rPr>
          <w:noProof/>
        </w:rPr>
        <w:drawing>
          <wp:inline distT="0" distB="0" distL="0" distR="0">
            <wp:extent cx="3632200" cy="1338942"/>
            <wp:effectExtent l="25400" t="0" r="0" b="0"/>
            <wp:docPr id="2" name="Picture 1" descr="ACpi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pic1.jpg"/>
                    <pic:cNvPicPr/>
                  </pic:nvPicPr>
                  <pic:blipFill>
                    <a:blip r:embed="rId9" cstate="print"/>
                    <a:stretch>
                      <a:fillRect/>
                    </a:stretch>
                  </pic:blipFill>
                  <pic:spPr>
                    <a:xfrm>
                      <a:off x="0" y="0"/>
                      <a:ext cx="3645821" cy="1343963"/>
                    </a:xfrm>
                    <a:prstGeom prst="rect">
                      <a:avLst/>
                    </a:prstGeom>
                  </pic:spPr>
                </pic:pic>
              </a:graphicData>
            </a:graphic>
          </wp:inline>
        </w:drawing>
      </w:r>
      <w:r w:rsidR="00321C5E" w:rsidRPr="00321C5E">
        <w:rPr>
          <w:noProof/>
        </w:rPr>
        <w:drawing>
          <wp:anchor distT="0" distB="0" distL="114300" distR="114300" simplePos="0" relativeHeight="251671552" behindDoc="1" locked="0" layoutInCell="1" allowOverlap="1">
            <wp:simplePos x="0" y="0"/>
            <wp:positionH relativeFrom="column">
              <wp:posOffset>4140028</wp:posOffset>
            </wp:positionH>
            <wp:positionV relativeFrom="paragraph">
              <wp:posOffset>451434</wp:posOffset>
            </wp:positionV>
            <wp:extent cx="878875" cy="1013254"/>
            <wp:effectExtent l="19050" t="0" r="0" b="0"/>
            <wp:wrapNone/>
            <wp:docPr id="12" name="Picture 11" descr="isoanglcll.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oanglcll.gif"/>
                    <pic:cNvPicPr/>
                  </pic:nvPicPr>
                  <pic:blipFill>
                    <a:blip r:embed="rId10" cstate="print"/>
                    <a:stretch>
                      <a:fillRect/>
                    </a:stretch>
                  </pic:blipFill>
                  <pic:spPr>
                    <a:xfrm>
                      <a:off x="0" y="0"/>
                      <a:ext cx="878875" cy="1013254"/>
                    </a:xfrm>
                    <a:prstGeom prst="rect">
                      <a:avLst/>
                    </a:prstGeom>
                  </pic:spPr>
                </pic:pic>
              </a:graphicData>
            </a:graphic>
          </wp:anchor>
        </w:drawing>
      </w:r>
    </w:p>
    <w:p w:rsidR="00292E49" w:rsidRPr="00321C5E" w:rsidRDefault="00292E49" w:rsidP="00321C5E">
      <w:pPr>
        <w:pStyle w:val="Graph"/>
      </w:pPr>
      <w:r w:rsidRPr="00321C5E">
        <w:t xml:space="preserve">Figure </w:t>
      </w:r>
      <w:r w:rsidR="00B85D08" w:rsidRPr="00321C5E">
        <w:fldChar w:fldCharType="begin"/>
      </w:r>
      <w:r w:rsidR="00222156" w:rsidRPr="00321C5E">
        <w:instrText xml:space="preserve"> SEQ Figure \* ARABIC </w:instrText>
      </w:r>
      <w:r w:rsidR="00B85D08" w:rsidRPr="00321C5E">
        <w:fldChar w:fldCharType="separate"/>
      </w:r>
      <w:r w:rsidR="00022DCA" w:rsidRPr="00321C5E">
        <w:t>1</w:t>
      </w:r>
      <w:r w:rsidR="00B85D08" w:rsidRPr="00321C5E">
        <w:fldChar w:fldCharType="end"/>
      </w:r>
      <w:r w:rsidRPr="00321C5E">
        <w:t xml:space="preserve">: </w:t>
      </w:r>
      <w:proofErr w:type="spellStart"/>
      <w:r w:rsidRPr="00321C5E">
        <w:t>Turbidimeter</w:t>
      </w:r>
      <w:proofErr w:type="spellEnd"/>
      <w:r w:rsidRPr="00321C5E">
        <w:t xml:space="preserve"> Body Components: (A) PVC cap used to close the end of the PVC tube and (B) PVC tube that holds sample water volume to be tested</w:t>
      </w:r>
      <w:r w:rsidR="001D0149">
        <w:t xml:space="preserve"> (C) </w:t>
      </w:r>
      <w:r w:rsidR="007B6735">
        <w:t>Polycarbonate m</w:t>
      </w:r>
      <w:r w:rsidR="001D0149">
        <w:t>aterial used as the lowering rod</w:t>
      </w:r>
    </w:p>
    <w:p w:rsidR="00292E49" w:rsidRPr="00EA1992" w:rsidRDefault="00EA1992" w:rsidP="00EA1992">
      <w:pPr>
        <w:pStyle w:val="Body"/>
        <w:spacing w:line="360" w:lineRule="auto"/>
        <w:rPr>
          <w:rFonts w:ascii="Times New Roman" w:hAnsi="Times New Roman"/>
          <w:i/>
          <w:sz w:val="22"/>
        </w:rPr>
      </w:pPr>
      <w:r w:rsidRPr="00C76CD9">
        <w:rPr>
          <w:rFonts w:ascii="Times New Roman" w:hAnsi="Times New Roman"/>
          <w:b/>
          <w:sz w:val="22"/>
        </w:rPr>
        <w:t xml:space="preserve">              </w:t>
      </w:r>
      <w:r>
        <w:rPr>
          <w:rFonts w:ascii="Times New Roman" w:hAnsi="Times New Roman"/>
          <w:b/>
          <w:sz w:val="22"/>
        </w:rPr>
        <w:t xml:space="preserve">     </w:t>
      </w:r>
      <w:r w:rsidRPr="00C76CD9">
        <w:rPr>
          <w:rFonts w:ascii="Times New Roman" w:hAnsi="Times New Roman"/>
          <w:b/>
          <w:sz w:val="22"/>
        </w:rPr>
        <w:t xml:space="preserve">     </w:t>
      </w:r>
    </w:p>
    <w:p w:rsidR="002D4929" w:rsidRDefault="00EA1992" w:rsidP="00641E78">
      <w:pPr>
        <w:pStyle w:val="Graph"/>
      </w:pPr>
      <w:r w:rsidRPr="00790534">
        <w:t xml:space="preserve">  </w:t>
      </w:r>
      <w:r w:rsidRPr="00292E49">
        <w:t xml:space="preserve">A.  LED light                    </w:t>
      </w:r>
      <w:r w:rsidR="00587F9F" w:rsidRPr="00292E49">
        <w:t xml:space="preserve">    </w:t>
      </w:r>
      <w:r w:rsidRPr="00292E49">
        <w:t xml:space="preserve">     B. Testing Design #1           </w:t>
      </w:r>
      <w:r w:rsidR="00587F9F" w:rsidRPr="00292E49">
        <w:t xml:space="preserve">         </w:t>
      </w:r>
      <w:r w:rsidRPr="00292E49">
        <w:t xml:space="preserve">  </w:t>
      </w:r>
      <w:r w:rsidR="00EF7E7D" w:rsidRPr="00292E49">
        <w:t>C</w:t>
      </w:r>
      <w:r w:rsidRPr="00292E49">
        <w:t xml:space="preserve">. Testing </w:t>
      </w:r>
      <w:proofErr w:type="gramStart"/>
      <w:r w:rsidRPr="00292E49">
        <w:t>Design  #</w:t>
      </w:r>
      <w:proofErr w:type="gramEnd"/>
      <w:r w:rsidRPr="00292E49">
        <w:t>2</w:t>
      </w:r>
    </w:p>
    <w:p w:rsidR="002D4929" w:rsidRDefault="002627BE">
      <w:pPr>
        <w:pStyle w:val="Graph"/>
      </w:pPr>
      <w:r w:rsidRPr="00191C1A">
        <w:rPr>
          <w:noProof/>
        </w:rPr>
        <w:drawing>
          <wp:inline distT="0" distB="0" distL="0" distR="0">
            <wp:extent cx="685800" cy="697523"/>
            <wp:effectExtent l="0" t="0" r="0" b="0"/>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86088" cy="697816"/>
                    </a:xfrm>
                    <a:prstGeom prst="rect">
                      <a:avLst/>
                    </a:prstGeom>
                    <a:noFill/>
                    <a:ln>
                      <a:noFill/>
                    </a:ln>
                  </pic:spPr>
                </pic:pic>
              </a:graphicData>
            </a:graphic>
          </wp:inline>
        </w:drawing>
      </w:r>
      <w:r w:rsidR="00EA1992">
        <w:t xml:space="preserve">                                      </w:t>
      </w:r>
      <w:r w:rsidRPr="00191C1A">
        <w:rPr>
          <w:noProof/>
        </w:rPr>
        <w:drawing>
          <wp:inline distT="0" distB="0" distL="0" distR="0">
            <wp:extent cx="736600" cy="7366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cchi_disk_pattern_m.png"/>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736769" cy="736769"/>
                    </a:xfrm>
                    <a:prstGeom prst="rect">
                      <a:avLst/>
                    </a:prstGeom>
                  </pic:spPr>
                </pic:pic>
              </a:graphicData>
            </a:graphic>
          </wp:inline>
        </w:drawing>
      </w:r>
      <w:r w:rsidR="00EA1992">
        <w:t xml:space="preserve">                         </w:t>
      </w:r>
      <w:r w:rsidRPr="00191C1A">
        <w:rPr>
          <w:noProof/>
        </w:rPr>
        <w:drawing>
          <wp:inline distT="0" distB="0" distL="0" distR="0">
            <wp:extent cx="1130300" cy="825162"/>
            <wp:effectExtent l="0" t="0" r="0" b="0"/>
            <wp:docPr id="3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1131122" cy="825762"/>
                    </a:xfrm>
                    <a:prstGeom prst="rect">
                      <a:avLst/>
                    </a:prstGeom>
                    <a:noFill/>
                    <a:ln>
                      <a:noFill/>
                    </a:ln>
                  </pic:spPr>
                </pic:pic>
              </a:graphicData>
            </a:graphic>
          </wp:inline>
        </w:drawing>
      </w:r>
      <w:r w:rsidR="00EA1992">
        <w:t xml:space="preserve"> </w:t>
      </w:r>
    </w:p>
    <w:p w:rsidR="00EA1992" w:rsidRDefault="00EA1992">
      <w:pPr>
        <w:pStyle w:val="Graph"/>
      </w:pPr>
      <w:r>
        <w:lastRenderedPageBreak/>
        <w:t xml:space="preserve"> </w:t>
      </w:r>
      <w:r w:rsidR="00292E49">
        <w:t xml:space="preserve">Figure </w:t>
      </w:r>
      <w:r w:rsidR="00B85D08">
        <w:fldChar w:fldCharType="begin"/>
      </w:r>
      <w:r w:rsidR="00222156">
        <w:instrText xml:space="preserve"> SEQ Figure \* ARABIC </w:instrText>
      </w:r>
      <w:r w:rsidR="00B85D08">
        <w:fldChar w:fldCharType="separate"/>
      </w:r>
      <w:r w:rsidR="00022DCA">
        <w:rPr>
          <w:noProof/>
        </w:rPr>
        <w:t>2</w:t>
      </w:r>
      <w:r w:rsidR="00B85D08">
        <w:rPr>
          <w:noProof/>
        </w:rPr>
        <w:fldChar w:fldCharType="end"/>
      </w:r>
      <w:r w:rsidR="00292E49">
        <w:t xml:space="preserve">: </w:t>
      </w:r>
      <w:proofErr w:type="spellStart"/>
      <w:r w:rsidR="00292E49" w:rsidRPr="00410B1F">
        <w:t>Turbidimeter</w:t>
      </w:r>
      <w:proofErr w:type="spellEnd"/>
      <w:r w:rsidR="00292E49" w:rsidRPr="00410B1F">
        <w:t xml:space="preserve"> LED display components include (A) a waterproof mini LED light</w:t>
      </w:r>
      <w:r w:rsidR="00F342E5">
        <w:t xml:space="preserve"> with an acrylic diffuser</w:t>
      </w:r>
      <w:r w:rsidR="00292E49" w:rsidRPr="00410B1F">
        <w:t xml:space="preserve">;  (B) top overlay testing design #1 featuring the classic </w:t>
      </w:r>
      <w:proofErr w:type="spellStart"/>
      <w:r w:rsidR="00292E49" w:rsidRPr="00410B1F">
        <w:t>Secchi</w:t>
      </w:r>
      <w:proofErr w:type="spellEnd"/>
      <w:r w:rsidR="00292E49" w:rsidRPr="00410B1F">
        <w:t xml:space="preserve"> disk “checkerboard” pattern; and (C) top overlay testing design #2 featuring a</w:t>
      </w:r>
      <w:r w:rsidR="00292E49">
        <w:t xml:space="preserve"> solid black line across the diameter of the LED light</w:t>
      </w:r>
      <w:r>
        <w:t xml:space="preserve">         </w:t>
      </w:r>
    </w:p>
    <w:p w:rsidR="00292E49" w:rsidRDefault="00292E49">
      <w:pPr>
        <w:pStyle w:val="Body"/>
        <w:spacing w:line="360" w:lineRule="auto"/>
        <w:rPr>
          <w:rFonts w:ascii="Times New Roman" w:hAnsi="Times New Roman"/>
          <w:sz w:val="22"/>
        </w:rPr>
      </w:pPr>
    </w:p>
    <w:p w:rsidR="00292E49" w:rsidRDefault="00897F1B" w:rsidP="00897F1B">
      <w:pPr>
        <w:pStyle w:val="Heading6"/>
        <w:rPr>
          <w:rStyle w:val="SubtleEmphasis"/>
          <w:rFonts w:ascii="Helvetica" w:eastAsia="ヒラギノ角ゴ Pro W3" w:hAnsi="Helvetica"/>
          <w:b w:val="0"/>
          <w:bCs w:val="0"/>
          <w:sz w:val="24"/>
          <w:lang w:bidi="ar-SA"/>
        </w:rPr>
      </w:pPr>
      <w:r>
        <w:rPr>
          <w:rStyle w:val="SubtleEmphasis"/>
          <w:color w:val="auto"/>
          <w:sz w:val="24"/>
          <w:szCs w:val="24"/>
        </w:rPr>
        <w:t xml:space="preserve">Experimental Methods using a Portable </w:t>
      </w:r>
      <w:proofErr w:type="spellStart"/>
      <w:r>
        <w:rPr>
          <w:rStyle w:val="SubtleEmphasis"/>
          <w:color w:val="auto"/>
          <w:sz w:val="24"/>
          <w:szCs w:val="24"/>
        </w:rPr>
        <w:t>Turbidimeter</w:t>
      </w:r>
      <w:proofErr w:type="spellEnd"/>
    </w:p>
    <w:p w:rsidR="00000000" w:rsidRDefault="00FC5285"/>
    <w:p w:rsidR="002D4929" w:rsidRDefault="00F10866">
      <w:pPr>
        <w:pStyle w:val="Body"/>
        <w:spacing w:line="480" w:lineRule="auto"/>
        <w:ind w:firstLine="720"/>
        <w:rPr>
          <w:rFonts w:ascii="Times New Roman" w:hAnsi="Times New Roman"/>
          <w:szCs w:val="24"/>
        </w:rPr>
      </w:pPr>
      <w:r>
        <w:rPr>
          <w:rFonts w:ascii="Times New Roman" w:hAnsi="Times New Roman"/>
          <w:szCs w:val="24"/>
        </w:rPr>
        <w:t>To begin experimentation</w:t>
      </w:r>
      <w:r w:rsidR="0083387B">
        <w:rPr>
          <w:rFonts w:ascii="Times New Roman" w:hAnsi="Times New Roman"/>
          <w:szCs w:val="24"/>
        </w:rPr>
        <w:t xml:space="preserve"> with the patterns in Figure 2</w:t>
      </w:r>
      <w:r>
        <w:rPr>
          <w:rFonts w:ascii="Times New Roman" w:hAnsi="Times New Roman"/>
          <w:szCs w:val="24"/>
        </w:rPr>
        <w:t xml:space="preserve">, 2.5 L of distilled water </w:t>
      </w:r>
      <w:r w:rsidR="00897F1B">
        <w:rPr>
          <w:rFonts w:ascii="Times New Roman" w:hAnsi="Times New Roman"/>
          <w:szCs w:val="24"/>
        </w:rPr>
        <w:t>wa</w:t>
      </w:r>
      <w:r>
        <w:rPr>
          <w:rFonts w:ascii="Times New Roman" w:hAnsi="Times New Roman"/>
          <w:szCs w:val="24"/>
        </w:rPr>
        <w:t xml:space="preserve">s placed in the </w:t>
      </w:r>
      <w:proofErr w:type="spellStart"/>
      <w:r>
        <w:rPr>
          <w:rFonts w:ascii="Times New Roman" w:hAnsi="Times New Roman"/>
          <w:szCs w:val="24"/>
        </w:rPr>
        <w:t>turbidimeter</w:t>
      </w:r>
      <w:proofErr w:type="spellEnd"/>
      <w:r>
        <w:rPr>
          <w:rFonts w:ascii="Times New Roman" w:hAnsi="Times New Roman"/>
          <w:szCs w:val="24"/>
        </w:rPr>
        <w:t xml:space="preserve"> </w:t>
      </w:r>
      <w:r w:rsidR="00897F1B">
        <w:rPr>
          <w:rFonts w:ascii="Times New Roman" w:hAnsi="Times New Roman"/>
          <w:szCs w:val="24"/>
        </w:rPr>
        <w:t>body.</w:t>
      </w:r>
      <w:r w:rsidR="00EA1992">
        <w:rPr>
          <w:rFonts w:ascii="Times New Roman" w:hAnsi="Times New Roman"/>
          <w:szCs w:val="24"/>
        </w:rPr>
        <w:t xml:space="preserve"> </w:t>
      </w:r>
      <w:r w:rsidR="00DC447B">
        <w:rPr>
          <w:rFonts w:ascii="Times New Roman" w:hAnsi="Times New Roman"/>
          <w:szCs w:val="24"/>
        </w:rPr>
        <w:t xml:space="preserve">A first turbidity measurement of the </w:t>
      </w:r>
      <w:r w:rsidR="007627E7">
        <w:rPr>
          <w:rFonts w:ascii="Times New Roman" w:hAnsi="Times New Roman"/>
          <w:szCs w:val="24"/>
        </w:rPr>
        <w:t>sample</w:t>
      </w:r>
      <w:r w:rsidR="00DC447B">
        <w:rPr>
          <w:rFonts w:ascii="Times New Roman" w:hAnsi="Times New Roman"/>
          <w:szCs w:val="24"/>
        </w:rPr>
        <w:t xml:space="preserve"> </w:t>
      </w:r>
      <w:r w:rsidR="00897F1B">
        <w:rPr>
          <w:rFonts w:ascii="Times New Roman" w:hAnsi="Times New Roman"/>
          <w:szCs w:val="24"/>
        </w:rPr>
        <w:t>wa</w:t>
      </w:r>
      <w:r w:rsidR="00587F9F">
        <w:rPr>
          <w:rFonts w:ascii="Times New Roman" w:hAnsi="Times New Roman"/>
          <w:szCs w:val="24"/>
        </w:rPr>
        <w:t>s performed</w:t>
      </w:r>
      <w:r w:rsidR="00587F9F" w:rsidRPr="00587F9F">
        <w:rPr>
          <w:rFonts w:ascii="Times New Roman" w:hAnsi="Times New Roman"/>
          <w:szCs w:val="24"/>
        </w:rPr>
        <w:t xml:space="preserve"> </w:t>
      </w:r>
      <w:r w:rsidR="00587F9F">
        <w:rPr>
          <w:rFonts w:ascii="Times New Roman" w:hAnsi="Times New Roman"/>
          <w:szCs w:val="24"/>
        </w:rPr>
        <w:t xml:space="preserve">using a portable </w:t>
      </w:r>
      <w:proofErr w:type="spellStart"/>
      <w:r w:rsidR="00587F9F">
        <w:rPr>
          <w:rFonts w:ascii="Times New Roman" w:hAnsi="Times New Roman"/>
          <w:szCs w:val="24"/>
        </w:rPr>
        <w:t>nephelometer</w:t>
      </w:r>
      <w:proofErr w:type="spellEnd"/>
      <w:r w:rsidR="00897F1B">
        <w:rPr>
          <w:rFonts w:ascii="Times New Roman" w:hAnsi="Times New Roman"/>
          <w:szCs w:val="24"/>
        </w:rPr>
        <w:t xml:space="preserve"> (Figure 3) to</w:t>
      </w:r>
      <w:r w:rsidR="00587F9F">
        <w:rPr>
          <w:rFonts w:ascii="Times New Roman" w:hAnsi="Times New Roman"/>
          <w:szCs w:val="24"/>
        </w:rPr>
        <w:t xml:space="preserve"> </w:t>
      </w:r>
      <w:r w:rsidR="00DC447B">
        <w:rPr>
          <w:rFonts w:ascii="Times New Roman" w:hAnsi="Times New Roman"/>
          <w:szCs w:val="24"/>
        </w:rPr>
        <w:t>generate</w:t>
      </w:r>
      <w:r w:rsidR="00897F1B">
        <w:rPr>
          <w:rFonts w:ascii="Times New Roman" w:hAnsi="Times New Roman"/>
          <w:szCs w:val="24"/>
        </w:rPr>
        <w:t xml:space="preserve"> a</w:t>
      </w:r>
      <w:r w:rsidR="00DC447B">
        <w:rPr>
          <w:rFonts w:ascii="Times New Roman" w:hAnsi="Times New Roman"/>
          <w:szCs w:val="24"/>
        </w:rPr>
        <w:t xml:space="preserve"> baseline </w:t>
      </w:r>
      <w:r w:rsidR="00897F1B">
        <w:rPr>
          <w:rFonts w:ascii="Times New Roman" w:hAnsi="Times New Roman"/>
          <w:szCs w:val="24"/>
        </w:rPr>
        <w:t xml:space="preserve">NTU </w:t>
      </w:r>
      <w:r w:rsidR="00DC447B">
        <w:rPr>
          <w:rFonts w:ascii="Times New Roman" w:hAnsi="Times New Roman"/>
          <w:szCs w:val="24"/>
        </w:rPr>
        <w:t xml:space="preserve">measurement </w:t>
      </w:r>
      <w:r w:rsidR="00587F9F">
        <w:rPr>
          <w:rFonts w:ascii="Times New Roman" w:hAnsi="Times New Roman"/>
          <w:szCs w:val="24"/>
        </w:rPr>
        <w:t>(the water is too clear and therefore outside the range of the</w:t>
      </w:r>
      <w:r w:rsidR="00DC447B">
        <w:rPr>
          <w:rFonts w:ascii="Times New Roman" w:hAnsi="Times New Roman"/>
          <w:szCs w:val="24"/>
        </w:rPr>
        <w:t xml:space="preserve"> LED-depth measurement at this point).</w:t>
      </w:r>
      <w:r w:rsidR="00E539B2">
        <w:rPr>
          <w:rFonts w:ascii="Times New Roman" w:hAnsi="Times New Roman"/>
          <w:szCs w:val="24"/>
        </w:rPr>
        <w:t xml:space="preserve"> </w:t>
      </w:r>
    </w:p>
    <w:p w:rsidR="00000000" w:rsidRDefault="00D6643E">
      <w:pPr>
        <w:pStyle w:val="Graph"/>
      </w:pPr>
      <w:r w:rsidRPr="00DD48A8">
        <w:rPr>
          <w:noProof/>
        </w:rPr>
        <w:drawing>
          <wp:inline distT="0" distB="0" distL="0" distR="0">
            <wp:extent cx="3026229" cy="2843520"/>
            <wp:effectExtent l="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026864" cy="2844116"/>
                    </a:xfrm>
                    <a:prstGeom prst="rect">
                      <a:avLst/>
                    </a:prstGeom>
                    <a:noFill/>
                    <a:ln>
                      <a:noFill/>
                    </a:ln>
                  </pic:spPr>
                </pic:pic>
              </a:graphicData>
            </a:graphic>
          </wp:inline>
        </w:drawing>
      </w:r>
    </w:p>
    <w:p w:rsidR="00475620" w:rsidRDefault="00DD48A8" w:rsidP="00641E78">
      <w:pPr>
        <w:pStyle w:val="Graph"/>
      </w:pPr>
      <w:r w:rsidRPr="004F019C">
        <w:t xml:space="preserve">Figure </w:t>
      </w:r>
      <w:r w:rsidR="00B85D08" w:rsidRPr="004F019C">
        <w:fldChar w:fldCharType="begin"/>
      </w:r>
      <w:r w:rsidR="00BA272E" w:rsidRPr="00BA272E">
        <w:instrText xml:space="preserve"> SEQ Figure \* ARABIC </w:instrText>
      </w:r>
      <w:r w:rsidR="00B85D08" w:rsidRPr="004F019C">
        <w:fldChar w:fldCharType="separate"/>
      </w:r>
      <w:r w:rsidR="00022DCA">
        <w:rPr>
          <w:noProof/>
        </w:rPr>
        <w:t>3</w:t>
      </w:r>
      <w:r w:rsidR="00B85D08" w:rsidRPr="004F019C">
        <w:fldChar w:fldCharType="end"/>
      </w:r>
      <w:r w:rsidRPr="004F019C">
        <w:t xml:space="preserve">: The portable </w:t>
      </w:r>
      <w:proofErr w:type="spellStart"/>
      <w:r w:rsidRPr="004F019C">
        <w:t>turbi</w:t>
      </w:r>
      <w:r w:rsidR="00A33CA0">
        <w:t>di</w:t>
      </w:r>
      <w:r w:rsidRPr="004F019C">
        <w:t>meter</w:t>
      </w:r>
      <w:proofErr w:type="spellEnd"/>
      <w:r w:rsidRPr="004F019C">
        <w:t xml:space="preserve"> used to generate reliable turbidity measurements</w:t>
      </w:r>
    </w:p>
    <w:p w:rsidR="00751941" w:rsidDel="00751941" w:rsidRDefault="00751941">
      <w:pPr>
        <w:pStyle w:val="Body"/>
        <w:spacing w:line="480" w:lineRule="auto"/>
        <w:rPr>
          <w:rFonts w:ascii="Times New Roman" w:hAnsi="Times New Roman"/>
          <w:sz w:val="22"/>
        </w:rPr>
      </w:pPr>
    </w:p>
    <w:p w:rsidR="00CE57D9" w:rsidRDefault="00CE57D9">
      <w:pPr>
        <w:pStyle w:val="Body"/>
        <w:spacing w:line="480" w:lineRule="auto"/>
        <w:rPr>
          <w:rFonts w:ascii="Times New Roman" w:hAnsi="Times New Roman"/>
          <w:szCs w:val="24"/>
        </w:rPr>
      </w:pPr>
    </w:p>
    <w:p w:rsidR="00D6643E" w:rsidRDefault="00751941">
      <w:pPr>
        <w:pStyle w:val="Body"/>
        <w:spacing w:line="480" w:lineRule="auto"/>
        <w:rPr>
          <w:rFonts w:ascii="Times New Roman" w:hAnsi="Times New Roman"/>
          <w:szCs w:val="24"/>
        </w:rPr>
      </w:pPr>
      <w:r>
        <w:rPr>
          <w:rFonts w:ascii="Times New Roman" w:hAnsi="Times New Roman"/>
          <w:szCs w:val="24"/>
        </w:rPr>
        <w:lastRenderedPageBreak/>
        <w:t>Then</w:t>
      </w:r>
      <w:r w:rsidR="00DC447B">
        <w:rPr>
          <w:rFonts w:ascii="Times New Roman" w:hAnsi="Times New Roman"/>
          <w:szCs w:val="24"/>
        </w:rPr>
        <w:t xml:space="preserve">, the following procedure </w:t>
      </w:r>
      <w:r>
        <w:rPr>
          <w:rFonts w:ascii="Times New Roman" w:hAnsi="Times New Roman"/>
          <w:szCs w:val="24"/>
        </w:rPr>
        <w:t>wa</w:t>
      </w:r>
      <w:r w:rsidR="00DC447B">
        <w:rPr>
          <w:rFonts w:ascii="Times New Roman" w:hAnsi="Times New Roman"/>
          <w:szCs w:val="24"/>
        </w:rPr>
        <w:t xml:space="preserve">s </w:t>
      </w:r>
      <w:r w:rsidR="005E49A0">
        <w:rPr>
          <w:rFonts w:ascii="Times New Roman" w:hAnsi="Times New Roman"/>
          <w:szCs w:val="24"/>
        </w:rPr>
        <w:t>repeated</w:t>
      </w:r>
      <w:r w:rsidR="00DC447B">
        <w:rPr>
          <w:rFonts w:ascii="Times New Roman" w:hAnsi="Times New Roman"/>
          <w:szCs w:val="24"/>
        </w:rPr>
        <w:t xml:space="preserve">: </w:t>
      </w:r>
    </w:p>
    <w:p w:rsidR="00D6643E" w:rsidRDefault="00751941" w:rsidP="00751941">
      <w:pPr>
        <w:pStyle w:val="Body"/>
        <w:spacing w:line="480" w:lineRule="auto"/>
        <w:rPr>
          <w:rFonts w:ascii="Times New Roman" w:hAnsi="Times New Roman"/>
          <w:szCs w:val="24"/>
        </w:rPr>
      </w:pPr>
      <w:r>
        <w:rPr>
          <w:rFonts w:ascii="Times New Roman" w:hAnsi="Times New Roman"/>
          <w:szCs w:val="24"/>
        </w:rPr>
        <w:t>1) An</w:t>
      </w:r>
      <w:r w:rsidR="00587F9F">
        <w:rPr>
          <w:rFonts w:ascii="Times New Roman" w:hAnsi="Times New Roman"/>
          <w:szCs w:val="24"/>
        </w:rPr>
        <w:t xml:space="preserve"> incremental amount of Kaolin clay</w:t>
      </w:r>
      <w:r>
        <w:rPr>
          <w:rFonts w:ascii="Times New Roman" w:hAnsi="Times New Roman"/>
          <w:szCs w:val="24"/>
        </w:rPr>
        <w:t xml:space="preserve"> was added</w:t>
      </w:r>
      <w:r w:rsidR="00587F9F">
        <w:rPr>
          <w:rFonts w:ascii="Times New Roman" w:hAnsi="Times New Roman"/>
          <w:szCs w:val="24"/>
        </w:rPr>
        <w:t xml:space="preserve"> to the </w:t>
      </w:r>
      <w:proofErr w:type="spellStart"/>
      <w:r w:rsidR="00587F9F">
        <w:rPr>
          <w:rFonts w:ascii="Times New Roman" w:hAnsi="Times New Roman"/>
          <w:szCs w:val="24"/>
        </w:rPr>
        <w:t>turbidimeter</w:t>
      </w:r>
      <w:proofErr w:type="spellEnd"/>
      <w:r w:rsidR="00587F9F">
        <w:rPr>
          <w:rFonts w:ascii="Times New Roman" w:hAnsi="Times New Roman"/>
          <w:szCs w:val="24"/>
        </w:rPr>
        <w:t xml:space="preserve"> tube body.</w:t>
      </w:r>
    </w:p>
    <w:p w:rsidR="00587F9F" w:rsidRDefault="00751941" w:rsidP="00751941">
      <w:pPr>
        <w:pStyle w:val="Body"/>
        <w:spacing w:line="480" w:lineRule="auto"/>
        <w:rPr>
          <w:rFonts w:ascii="Times New Roman" w:hAnsi="Times New Roman"/>
          <w:szCs w:val="24"/>
        </w:rPr>
      </w:pPr>
      <w:r>
        <w:rPr>
          <w:rFonts w:ascii="Times New Roman" w:hAnsi="Times New Roman"/>
          <w:szCs w:val="24"/>
        </w:rPr>
        <w:t>2) A</w:t>
      </w:r>
      <w:r w:rsidR="00587F9F">
        <w:rPr>
          <w:rFonts w:ascii="Times New Roman" w:hAnsi="Times New Roman"/>
          <w:szCs w:val="24"/>
        </w:rPr>
        <w:t xml:space="preserve"> removable PVC cap </w:t>
      </w:r>
      <w:r>
        <w:rPr>
          <w:rFonts w:ascii="Times New Roman" w:hAnsi="Times New Roman"/>
          <w:szCs w:val="24"/>
        </w:rPr>
        <w:t xml:space="preserve">was placed </w:t>
      </w:r>
      <w:r w:rsidR="00587F9F">
        <w:rPr>
          <w:rFonts w:ascii="Times New Roman" w:hAnsi="Times New Roman"/>
          <w:szCs w:val="24"/>
        </w:rPr>
        <w:t xml:space="preserve">on the open end of the </w:t>
      </w:r>
      <w:proofErr w:type="spellStart"/>
      <w:r w:rsidR="00587F9F">
        <w:rPr>
          <w:rFonts w:ascii="Times New Roman" w:hAnsi="Times New Roman"/>
          <w:szCs w:val="24"/>
        </w:rPr>
        <w:t>turbidimeter</w:t>
      </w:r>
      <w:proofErr w:type="spellEnd"/>
      <w:r w:rsidR="00587F9F">
        <w:rPr>
          <w:rFonts w:ascii="Times New Roman" w:hAnsi="Times New Roman"/>
          <w:szCs w:val="24"/>
        </w:rPr>
        <w:t xml:space="preserve"> tube. </w:t>
      </w:r>
      <w:r>
        <w:rPr>
          <w:rFonts w:ascii="Times New Roman" w:hAnsi="Times New Roman"/>
          <w:szCs w:val="24"/>
        </w:rPr>
        <w:t>The closed tube was then inverted</w:t>
      </w:r>
      <w:r w:rsidR="00875DC5">
        <w:rPr>
          <w:rFonts w:ascii="Times New Roman" w:hAnsi="Times New Roman"/>
          <w:szCs w:val="24"/>
        </w:rPr>
        <w:t xml:space="preserve"> </w:t>
      </w:r>
      <w:r w:rsidR="00587F9F">
        <w:rPr>
          <w:rFonts w:ascii="Times New Roman" w:hAnsi="Times New Roman"/>
          <w:szCs w:val="24"/>
        </w:rPr>
        <w:t xml:space="preserve">five times to promote mixing and </w:t>
      </w:r>
      <w:r w:rsidR="002627BE">
        <w:rPr>
          <w:rFonts w:ascii="Times New Roman" w:hAnsi="Times New Roman"/>
          <w:szCs w:val="24"/>
        </w:rPr>
        <w:t xml:space="preserve">to </w:t>
      </w:r>
      <w:r w:rsidR="00587F9F">
        <w:rPr>
          <w:rFonts w:ascii="Times New Roman" w:hAnsi="Times New Roman"/>
          <w:szCs w:val="24"/>
        </w:rPr>
        <w:t xml:space="preserve">suspend the clay particles in the sample. </w:t>
      </w:r>
    </w:p>
    <w:p w:rsidR="00587F9F" w:rsidRDefault="00751941" w:rsidP="00751941">
      <w:pPr>
        <w:pStyle w:val="Body"/>
        <w:spacing w:line="480" w:lineRule="auto"/>
        <w:rPr>
          <w:rFonts w:ascii="Times New Roman" w:hAnsi="Times New Roman"/>
          <w:szCs w:val="24"/>
        </w:rPr>
      </w:pPr>
      <w:r>
        <w:rPr>
          <w:rFonts w:ascii="Times New Roman" w:hAnsi="Times New Roman"/>
          <w:szCs w:val="24"/>
        </w:rPr>
        <w:t>3)</w:t>
      </w:r>
      <w:r w:rsidR="00587F9F">
        <w:rPr>
          <w:rFonts w:ascii="Times New Roman" w:hAnsi="Times New Roman"/>
          <w:szCs w:val="24"/>
        </w:rPr>
        <w:t xml:space="preserve"> </w:t>
      </w:r>
      <w:r w:rsidR="00837C7F">
        <w:rPr>
          <w:rFonts w:ascii="Times New Roman" w:hAnsi="Times New Roman"/>
          <w:szCs w:val="24"/>
        </w:rPr>
        <w:t>The removable PVC</w:t>
      </w:r>
      <w:r w:rsidR="00587F9F">
        <w:rPr>
          <w:rFonts w:ascii="Times New Roman" w:hAnsi="Times New Roman"/>
          <w:szCs w:val="24"/>
        </w:rPr>
        <w:t xml:space="preserve"> cap</w:t>
      </w:r>
      <w:r w:rsidR="00837C7F">
        <w:rPr>
          <w:rFonts w:ascii="Times New Roman" w:hAnsi="Times New Roman"/>
          <w:szCs w:val="24"/>
        </w:rPr>
        <w:t xml:space="preserve"> was detached and the</w:t>
      </w:r>
      <w:r w:rsidR="00587F9F">
        <w:rPr>
          <w:rFonts w:ascii="Times New Roman" w:hAnsi="Times New Roman"/>
          <w:szCs w:val="24"/>
        </w:rPr>
        <w:t xml:space="preserve"> </w:t>
      </w:r>
      <w:r w:rsidR="00837C7F">
        <w:rPr>
          <w:rFonts w:ascii="Times New Roman" w:hAnsi="Times New Roman"/>
          <w:szCs w:val="24"/>
        </w:rPr>
        <w:t>measuring rod was lowered</w:t>
      </w:r>
      <w:r w:rsidR="00587F9F">
        <w:rPr>
          <w:rFonts w:ascii="Times New Roman" w:hAnsi="Times New Roman"/>
          <w:szCs w:val="24"/>
        </w:rPr>
        <w:t xml:space="preserve"> into the </w:t>
      </w:r>
      <w:r w:rsidR="00837C7F">
        <w:rPr>
          <w:rFonts w:ascii="Times New Roman" w:hAnsi="Times New Roman"/>
          <w:szCs w:val="24"/>
        </w:rPr>
        <w:t>tube.</w:t>
      </w:r>
      <w:r w:rsidR="00587F9F">
        <w:rPr>
          <w:rFonts w:ascii="Times New Roman" w:hAnsi="Times New Roman"/>
          <w:szCs w:val="24"/>
        </w:rPr>
        <w:t xml:space="preserve"> </w:t>
      </w:r>
      <w:r w:rsidR="00837C7F">
        <w:rPr>
          <w:rFonts w:ascii="Times New Roman" w:hAnsi="Times New Roman"/>
          <w:szCs w:val="24"/>
        </w:rPr>
        <w:t xml:space="preserve">The lowest depth where the LED display was still visible was recorded in cm. </w:t>
      </w:r>
    </w:p>
    <w:p w:rsidR="00587F9F" w:rsidRDefault="00751941" w:rsidP="00751941">
      <w:pPr>
        <w:pStyle w:val="Body"/>
        <w:spacing w:line="480" w:lineRule="auto"/>
        <w:rPr>
          <w:rFonts w:ascii="Times New Roman" w:hAnsi="Times New Roman"/>
          <w:szCs w:val="24"/>
        </w:rPr>
      </w:pPr>
      <w:r>
        <w:rPr>
          <w:rFonts w:ascii="Times New Roman" w:hAnsi="Times New Roman"/>
          <w:szCs w:val="24"/>
        </w:rPr>
        <w:t xml:space="preserve">4) </w:t>
      </w:r>
      <w:r w:rsidR="00837C7F">
        <w:rPr>
          <w:rFonts w:ascii="Times New Roman" w:hAnsi="Times New Roman"/>
          <w:szCs w:val="24"/>
        </w:rPr>
        <w:t xml:space="preserve">The actual turbidity of the water sample was recorded using the portable </w:t>
      </w:r>
      <w:proofErr w:type="spellStart"/>
      <w:r w:rsidR="00837C7F">
        <w:rPr>
          <w:rFonts w:ascii="Times New Roman" w:hAnsi="Times New Roman"/>
          <w:szCs w:val="24"/>
        </w:rPr>
        <w:t>nephelometer</w:t>
      </w:r>
      <w:proofErr w:type="spellEnd"/>
      <w:r w:rsidR="00837C7F">
        <w:rPr>
          <w:rFonts w:ascii="Times New Roman" w:hAnsi="Times New Roman"/>
          <w:szCs w:val="24"/>
        </w:rPr>
        <w:t>.</w:t>
      </w:r>
    </w:p>
    <w:p w:rsidR="00000000" w:rsidRDefault="00B85D08">
      <w:pPr>
        <w:pStyle w:val="Body"/>
        <w:spacing w:line="480" w:lineRule="auto"/>
        <w:ind w:firstLine="720"/>
        <w:rPr>
          <w:rFonts w:ascii="Times New Roman" w:hAnsi="Times New Roman"/>
          <w:szCs w:val="24"/>
        </w:rPr>
      </w:pPr>
      <w:r w:rsidRPr="00B85D08">
        <w:rPr>
          <w:rFonts w:ascii="Times New Roman" w:eastAsia="Cambria" w:hAnsi="Times New Roman"/>
        </w:rPr>
        <w:t xml:space="preserve">The incremental addition of Kaolin clay allowed us to plot LED Depth (cm) vs. Turbidity (NTU). The constants </w:t>
      </w:r>
      <w:proofErr w:type="gramStart"/>
      <w:r w:rsidRPr="00B85D08">
        <w:rPr>
          <w:rFonts w:ascii="Times New Roman" w:eastAsia="Cambria" w:hAnsi="Times New Roman"/>
        </w:rPr>
        <w:t>a and</w:t>
      </w:r>
      <w:proofErr w:type="gramEnd"/>
      <w:r w:rsidRPr="00B85D08">
        <w:rPr>
          <w:rFonts w:ascii="Times New Roman" w:eastAsia="Cambria" w:hAnsi="Times New Roman"/>
        </w:rPr>
        <w:t xml:space="preserve"> b from equation 1 were then determined by fitting a power-law curve to the plotted data. </w:t>
      </w:r>
      <w:r w:rsidR="00F10866" w:rsidRPr="005E49A0">
        <w:rPr>
          <w:rFonts w:ascii="Times New Roman" w:hAnsi="Times New Roman"/>
          <w:szCs w:val="24"/>
        </w:rPr>
        <w:t xml:space="preserve">The R² value of each fitted curve </w:t>
      </w:r>
      <w:r w:rsidR="005E49A0">
        <w:rPr>
          <w:rFonts w:ascii="Times New Roman" w:hAnsi="Times New Roman"/>
          <w:szCs w:val="24"/>
        </w:rPr>
        <w:t>gave</w:t>
      </w:r>
      <w:r w:rsidR="00F10866" w:rsidRPr="005E49A0">
        <w:rPr>
          <w:rFonts w:ascii="Times New Roman" w:hAnsi="Times New Roman"/>
          <w:szCs w:val="24"/>
        </w:rPr>
        <w:t xml:space="preserve"> insight on the accuracy and reliability of the data</w:t>
      </w:r>
      <w:r w:rsidR="007627E7" w:rsidRPr="005E49A0">
        <w:rPr>
          <w:rFonts w:ascii="Times New Roman" w:hAnsi="Times New Roman"/>
          <w:szCs w:val="24"/>
        </w:rPr>
        <w:t xml:space="preserve"> fit</w:t>
      </w:r>
      <w:r w:rsidR="00F10866" w:rsidRPr="005E49A0">
        <w:rPr>
          <w:rFonts w:ascii="Times New Roman" w:hAnsi="Times New Roman"/>
          <w:szCs w:val="24"/>
        </w:rPr>
        <w:t xml:space="preserve">. </w:t>
      </w:r>
      <w:r w:rsidR="005E49A0">
        <w:rPr>
          <w:rFonts w:ascii="Times New Roman" w:hAnsi="Times New Roman"/>
          <w:szCs w:val="24"/>
        </w:rPr>
        <w:t xml:space="preserve">A </w:t>
      </w:r>
      <w:r w:rsidR="00F10866">
        <w:rPr>
          <w:rFonts w:ascii="Times New Roman" w:hAnsi="Times New Roman"/>
          <w:szCs w:val="24"/>
        </w:rPr>
        <w:t xml:space="preserve">comparison of the R² values </w:t>
      </w:r>
      <w:r w:rsidR="005E49A0">
        <w:rPr>
          <w:rFonts w:ascii="Times New Roman" w:hAnsi="Times New Roman"/>
          <w:szCs w:val="24"/>
        </w:rPr>
        <w:t>revealed</w:t>
      </w:r>
      <w:r w:rsidR="00F10866">
        <w:rPr>
          <w:rFonts w:ascii="Times New Roman" w:hAnsi="Times New Roman"/>
          <w:szCs w:val="24"/>
        </w:rPr>
        <w:t xml:space="preserve"> which LED design pattern </w:t>
      </w:r>
      <w:r w:rsidR="007F2C6B">
        <w:rPr>
          <w:rFonts w:ascii="Times New Roman" w:hAnsi="Times New Roman"/>
          <w:szCs w:val="24"/>
        </w:rPr>
        <w:t xml:space="preserve">gave </w:t>
      </w:r>
      <w:r w:rsidR="00F10866">
        <w:rPr>
          <w:rFonts w:ascii="Times New Roman" w:hAnsi="Times New Roman"/>
          <w:szCs w:val="24"/>
        </w:rPr>
        <w:t xml:space="preserve">the most </w:t>
      </w:r>
      <w:r w:rsidR="007F2C6B">
        <w:rPr>
          <w:rFonts w:ascii="Times New Roman" w:hAnsi="Times New Roman"/>
          <w:szCs w:val="24"/>
        </w:rPr>
        <w:t xml:space="preserve">accurate </w:t>
      </w:r>
      <w:r w:rsidR="00F10866">
        <w:rPr>
          <w:rFonts w:ascii="Times New Roman" w:hAnsi="Times New Roman"/>
          <w:szCs w:val="24"/>
        </w:rPr>
        <w:t>power law fit</w:t>
      </w:r>
      <w:r w:rsidR="007F2C6B">
        <w:rPr>
          <w:rFonts w:ascii="Times New Roman" w:hAnsi="Times New Roman"/>
          <w:szCs w:val="24"/>
        </w:rPr>
        <w:t>.</w:t>
      </w:r>
      <w:r w:rsidR="00F10866">
        <w:rPr>
          <w:rFonts w:ascii="Times New Roman" w:hAnsi="Times New Roman"/>
          <w:szCs w:val="24"/>
        </w:rPr>
        <w:t xml:space="preserve"> The </w:t>
      </w:r>
      <w:r w:rsidR="007627E7">
        <w:rPr>
          <w:rFonts w:ascii="Times New Roman" w:hAnsi="Times New Roman"/>
          <w:szCs w:val="24"/>
        </w:rPr>
        <w:t>measuring</w:t>
      </w:r>
      <w:r w:rsidR="00F10866">
        <w:rPr>
          <w:rFonts w:ascii="Times New Roman" w:hAnsi="Times New Roman"/>
          <w:szCs w:val="24"/>
        </w:rPr>
        <w:t xml:space="preserve"> </w:t>
      </w:r>
      <w:r w:rsidR="00701510">
        <w:rPr>
          <w:rFonts w:ascii="Times New Roman" w:hAnsi="Times New Roman"/>
          <w:szCs w:val="24"/>
        </w:rPr>
        <w:t xml:space="preserve">rod </w:t>
      </w:r>
      <w:r w:rsidR="007F2C6B">
        <w:rPr>
          <w:rFonts w:ascii="Times New Roman" w:hAnsi="Times New Roman"/>
          <w:szCs w:val="24"/>
        </w:rPr>
        <w:t xml:space="preserve">could </w:t>
      </w:r>
      <w:r w:rsidR="00F10866">
        <w:rPr>
          <w:rFonts w:ascii="Times New Roman" w:hAnsi="Times New Roman"/>
          <w:szCs w:val="24"/>
        </w:rPr>
        <w:t xml:space="preserve">then be labeled </w:t>
      </w:r>
      <w:r w:rsidR="007627E7">
        <w:rPr>
          <w:rFonts w:ascii="Times New Roman" w:hAnsi="Times New Roman"/>
          <w:szCs w:val="24"/>
        </w:rPr>
        <w:t>incrementally with the appropriate turbidity scale using NTU values</w:t>
      </w:r>
      <w:r w:rsidR="007F2C6B">
        <w:rPr>
          <w:rFonts w:ascii="Times New Roman" w:hAnsi="Times New Roman"/>
          <w:szCs w:val="24"/>
        </w:rPr>
        <w:t xml:space="preserve"> predicted with the derived power law equation, allowing</w:t>
      </w:r>
      <w:r w:rsidR="00F10866">
        <w:rPr>
          <w:rFonts w:ascii="Times New Roman" w:hAnsi="Times New Roman"/>
          <w:szCs w:val="24"/>
        </w:rPr>
        <w:t xml:space="preserve"> a direct reading of the </w:t>
      </w:r>
      <w:r w:rsidR="00701510">
        <w:rPr>
          <w:rFonts w:ascii="Times New Roman" w:hAnsi="Times New Roman"/>
          <w:szCs w:val="24"/>
        </w:rPr>
        <w:t xml:space="preserve">sample’s </w:t>
      </w:r>
      <w:r w:rsidR="00F10866">
        <w:rPr>
          <w:rFonts w:ascii="Times New Roman" w:hAnsi="Times New Roman"/>
          <w:szCs w:val="24"/>
        </w:rPr>
        <w:t xml:space="preserve">turbidity from the </w:t>
      </w:r>
      <w:r w:rsidR="00701510">
        <w:rPr>
          <w:rFonts w:ascii="Times New Roman" w:hAnsi="Times New Roman"/>
          <w:szCs w:val="24"/>
        </w:rPr>
        <w:t>measuring rod.</w:t>
      </w:r>
    </w:p>
    <w:p w:rsidR="00000000" w:rsidRDefault="0083387B">
      <w:pPr>
        <w:pStyle w:val="Heading6"/>
        <w:spacing w:before="0" w:after="0" w:line="480" w:lineRule="auto"/>
      </w:pPr>
      <w:r>
        <w:rPr>
          <w:rStyle w:val="SubtleEmphasis"/>
          <w:color w:val="auto"/>
          <w:sz w:val="24"/>
          <w:szCs w:val="24"/>
        </w:rPr>
        <w:t xml:space="preserve">Experimental Methods for </w:t>
      </w:r>
      <w:r w:rsidR="008F3662" w:rsidRPr="008F3662">
        <w:rPr>
          <w:rStyle w:val="SubtleEmphasis"/>
          <w:color w:val="auto"/>
          <w:sz w:val="24"/>
          <w:szCs w:val="24"/>
        </w:rPr>
        <w:t>Dual-</w:t>
      </w:r>
      <w:r>
        <w:rPr>
          <w:rStyle w:val="SubtleEmphasis"/>
          <w:color w:val="auto"/>
          <w:sz w:val="24"/>
          <w:szCs w:val="24"/>
        </w:rPr>
        <w:t xml:space="preserve">range Scale using an Online </w:t>
      </w:r>
      <w:proofErr w:type="spellStart"/>
      <w:r>
        <w:rPr>
          <w:rStyle w:val="SubtleEmphasis"/>
          <w:color w:val="auto"/>
          <w:sz w:val="24"/>
          <w:szCs w:val="24"/>
        </w:rPr>
        <w:t>Turbidimeter</w:t>
      </w:r>
      <w:proofErr w:type="spellEnd"/>
    </w:p>
    <w:p w:rsidR="00D6643E" w:rsidRDefault="00A42158" w:rsidP="0083387B">
      <w:pPr>
        <w:pStyle w:val="Body"/>
        <w:spacing w:line="480" w:lineRule="auto"/>
        <w:ind w:firstLine="720"/>
        <w:rPr>
          <w:rFonts w:ascii="Times New Roman" w:hAnsi="Times New Roman"/>
          <w:noProof/>
          <w:szCs w:val="24"/>
        </w:rPr>
      </w:pPr>
      <w:r>
        <w:rPr>
          <w:rFonts w:ascii="Times New Roman" w:hAnsi="Times New Roman"/>
          <w:szCs w:val="24"/>
        </w:rPr>
        <w:t>When the team considered using</w:t>
      </w:r>
      <w:r w:rsidR="00192F17">
        <w:rPr>
          <w:rFonts w:ascii="Times New Roman" w:hAnsi="Times New Roman"/>
          <w:szCs w:val="24"/>
        </w:rPr>
        <w:t xml:space="preserve"> a dual</w:t>
      </w:r>
      <w:r>
        <w:rPr>
          <w:rFonts w:ascii="Times New Roman" w:hAnsi="Times New Roman"/>
          <w:szCs w:val="24"/>
        </w:rPr>
        <w:t xml:space="preserve">-range overlay design </w:t>
      </w:r>
      <w:r w:rsidR="00192F17">
        <w:rPr>
          <w:rFonts w:ascii="Times New Roman" w:hAnsi="Times New Roman"/>
          <w:szCs w:val="24"/>
        </w:rPr>
        <w:t>to measure both low (&lt;5 NTU) and high (&gt;200 NTU) turbidity ranges</w:t>
      </w:r>
      <w:r w:rsidR="002339BE">
        <w:rPr>
          <w:rFonts w:ascii="Times New Roman" w:hAnsi="Times New Roman"/>
          <w:szCs w:val="24"/>
        </w:rPr>
        <w:t xml:space="preserve"> using two scales on one measuring rod, the design in Figure 4 was proposed. </w:t>
      </w:r>
    </w:p>
    <w:p w:rsidR="00000000" w:rsidRDefault="00FC5285">
      <w:pPr>
        <w:pStyle w:val="Body"/>
        <w:spacing w:line="480" w:lineRule="auto"/>
        <w:rPr>
          <w:rFonts w:ascii="Times New Roman" w:hAnsi="Times New Roman"/>
          <w:noProof/>
          <w:szCs w:val="24"/>
        </w:rPr>
      </w:pPr>
    </w:p>
    <w:p w:rsidR="002D4929" w:rsidRDefault="00B85D08" w:rsidP="00641E78">
      <w:pPr>
        <w:pStyle w:val="Graph"/>
      </w:pPr>
      <w:r>
        <w:rPr>
          <w:noProof/>
        </w:rPr>
        <w:lastRenderedPageBreak/>
        <w:pict>
          <v:shapetype id="_x0000_t32" coordsize="21600,21600" o:spt="32" o:oned="t" path="m,l21600,21600e" filled="f">
            <v:path arrowok="t" fillok="f" o:connecttype="none"/>
            <o:lock v:ext="edit" shapetype="t"/>
          </v:shapetype>
          <v:shape id="Straight Arrow Connector 8" o:spid="_x0000_s1029" type="#_x0000_t32" style="position:absolute;margin-left:297pt;margin-top:13pt;width:45pt;height:81pt;flip:x;z-index:25166848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" strokecolor="black [3213]" strokeweight="3.25pt">
            <v:stroke endarrow="classic" endarrowwidth="wide"/>
            <v:shadow on="t" opacity="24903f" origin=",.5" offset="0,.55556mm"/>
            <o:lock v:ext="edit" shapetype="f"/>
          </v:shape>
        </w:pict>
      </w:r>
      <w:r w:rsidR="005407EE">
        <w:tab/>
      </w:r>
      <w:r w:rsidR="005407EE">
        <w:tab/>
      </w:r>
      <w:r w:rsidR="005407EE">
        <w:tab/>
      </w:r>
      <w:r w:rsidR="005407EE">
        <w:tab/>
      </w:r>
      <w:r w:rsidR="005407EE">
        <w:tab/>
      </w:r>
      <w:r w:rsidR="005407EE">
        <w:tab/>
      </w:r>
      <w:r w:rsidR="005407EE">
        <w:tab/>
      </w:r>
      <w:r w:rsidR="005407EE">
        <w:tab/>
        <w:t xml:space="preserve">                 LED</w:t>
      </w:r>
    </w:p>
    <w:p w:rsidR="00000000" w:rsidRDefault="00B85D08">
      <w:pPr>
        <w:pStyle w:val="Graph"/>
      </w:pPr>
      <w:r>
        <w:rPr>
          <w:noProof/>
        </w:rPr>
        <w:pict>
          <v:shape id="Straight Arrow Connector 6" o:spid="_x0000_s1028" type="#_x0000_t32" style="position:absolute;margin-left:27pt;margin-top:112pt;width:81pt;height:81pt;flip:y;z-index:25166745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" strokecolor="black [3213]" strokeweight="3.25pt">
            <v:stroke endarrow="block" endarrowwidth="wide"/>
            <v:shadow on="t" opacity="24903f" origin=",.5" offset="0,.55556mm"/>
            <o:lock v:ext="edit" shapetype="f"/>
          </v:shape>
        </w:pict>
      </w:r>
      <w:r>
        <w:rPr>
          <w:noProof/>
        </w:rPr>
        <w:pict>
          <v:shape id="Straight Arrow Connector 5" o:spid="_x0000_s1027" type="#_x0000_t32" style="position:absolute;margin-left:324pt;margin-top:121pt;width:1in;height:1in;flip:x y;z-index:25166643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" strokecolor="black [3213]" strokeweight="3.25pt">
            <v:stroke endarrow="block" endarrowwidth="wide"/>
            <v:shadow on="t" opacity="24903f" origin=",.5" offset="0,.55556mm"/>
            <o:lock v:ext="edit" shapetype="f"/>
          </v:shape>
        </w:pict>
      </w:r>
      <w:r w:rsidR="002627BE" w:rsidRPr="00191C1A">
        <w:rPr>
          <w:noProof/>
        </w:rPr>
        <w:drawing>
          <wp:inline distT="0" distB="0" distL="0" distR="0">
            <wp:extent cx="3698697" cy="2266571"/>
            <wp:effectExtent l="0" t="0" r="1016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699989" cy="2267363"/>
                    </a:xfrm>
                    <a:prstGeom prst="rect">
                      <a:avLst/>
                    </a:prstGeom>
                    <a:noFill/>
                    <a:ln>
                      <a:noFill/>
                    </a:ln>
                  </pic:spPr>
                </pic:pic>
              </a:graphicData>
            </a:graphic>
          </wp:inline>
        </w:drawing>
      </w:r>
    </w:p>
    <w:p w:rsidR="002D4929" w:rsidRDefault="00191C1A" w:rsidP="00641E78">
      <w:pPr>
        <w:pStyle w:val="Graph"/>
      </w:pPr>
      <w:r>
        <w:rPr>
          <w:b/>
        </w:rPr>
        <w:t xml:space="preserve">LED </w:t>
      </w:r>
      <w:r w:rsidR="005407EE" w:rsidRPr="00266117">
        <w:rPr>
          <w:b/>
        </w:rPr>
        <w:t>Fixture top</w:t>
      </w:r>
      <w:r w:rsidR="005407EE">
        <w:rPr>
          <w:b/>
        </w:rPr>
        <w:t xml:space="preserve"> piece</w:t>
      </w:r>
      <w:r w:rsidR="005407EE">
        <w:t xml:space="preserve">                                  </w:t>
      </w:r>
      <w:r>
        <w:t xml:space="preserve">                </w:t>
      </w:r>
      <w:r w:rsidR="00192F17">
        <w:t xml:space="preserve">  </w:t>
      </w:r>
      <w:r w:rsidR="005407EE">
        <w:t xml:space="preserve"> </w:t>
      </w:r>
      <w:r>
        <w:t xml:space="preserve">      </w:t>
      </w:r>
      <w:r w:rsidR="005407EE">
        <w:t xml:space="preserve">  </w:t>
      </w:r>
      <w:r w:rsidRPr="00191C1A">
        <w:rPr>
          <w:b/>
        </w:rPr>
        <w:t>LED</w:t>
      </w:r>
      <w:r w:rsidR="005407EE">
        <w:t xml:space="preserve"> </w:t>
      </w:r>
      <w:r w:rsidR="005407EE">
        <w:rPr>
          <w:b/>
        </w:rPr>
        <w:t>Fixture bottom piece</w:t>
      </w:r>
    </w:p>
    <w:p w:rsidR="00F342E5" w:rsidRPr="00F342E5" w:rsidRDefault="004F019C">
      <w:pPr>
        <w:pStyle w:val="Graph"/>
        <w:rPr>
          <w:b/>
        </w:rPr>
      </w:pPr>
      <w:r w:rsidRPr="00F342E5">
        <w:t xml:space="preserve">Figure </w:t>
      </w:r>
      <w:r w:rsidR="00B85D08" w:rsidRPr="00BA272E">
        <w:fldChar w:fldCharType="begin"/>
      </w:r>
      <w:r w:rsidR="00BA272E" w:rsidRPr="00BA272E">
        <w:instrText xml:space="preserve"> SEQ Figure \* ARABIC </w:instrText>
      </w:r>
      <w:r w:rsidR="00B85D08" w:rsidRPr="00BA272E">
        <w:fldChar w:fldCharType="separate"/>
      </w:r>
      <w:r w:rsidR="00022DCA">
        <w:rPr>
          <w:noProof/>
        </w:rPr>
        <w:t>4</w:t>
      </w:r>
      <w:r w:rsidR="00B85D08" w:rsidRPr="00BA272E">
        <w:fldChar w:fldCharType="end"/>
      </w:r>
      <w:r w:rsidR="00BA272E" w:rsidRPr="00BA272E">
        <w:t xml:space="preserve">: LED light fixture setup including (A) </w:t>
      </w:r>
      <w:r w:rsidR="00706476">
        <w:t>high-density polyethylene</w:t>
      </w:r>
      <w:r w:rsidR="00706476" w:rsidRPr="00BA272E">
        <w:t xml:space="preserve"> </w:t>
      </w:r>
      <w:r w:rsidR="00706476">
        <w:t>diffuser</w:t>
      </w:r>
      <w:r w:rsidR="00BA272E" w:rsidRPr="00BA272E">
        <w:t xml:space="preserve"> with testing designs: the word “Agua” and a thick black stripe; (B) fixture bottom piece: the LED light</w:t>
      </w:r>
      <w:r w:rsidR="00BA272E" w:rsidRPr="00BA272E">
        <w:rPr>
          <w:b/>
        </w:rPr>
        <w:t xml:space="preserve"> </w:t>
      </w:r>
    </w:p>
    <w:p w:rsidR="005407EE" w:rsidRDefault="005407EE" w:rsidP="005407EE">
      <w:pPr>
        <w:pStyle w:val="Body"/>
        <w:spacing w:after="0" w:line="360" w:lineRule="auto"/>
        <w:rPr>
          <w:rFonts w:ascii="Times New Roman" w:hAnsi="Times New Roman"/>
          <w:szCs w:val="24"/>
        </w:rPr>
      </w:pPr>
    </w:p>
    <w:p w:rsidR="00D6643E" w:rsidRDefault="00192F17">
      <w:pPr>
        <w:pStyle w:val="Body"/>
        <w:spacing w:after="0" w:line="480" w:lineRule="auto"/>
        <w:rPr>
          <w:rFonts w:ascii="Times New Roman" w:hAnsi="Times New Roman"/>
          <w:szCs w:val="24"/>
        </w:rPr>
      </w:pPr>
      <w:r>
        <w:rPr>
          <w:rFonts w:ascii="Times New Roman" w:hAnsi="Times New Roman"/>
          <w:szCs w:val="24"/>
        </w:rPr>
        <w:t xml:space="preserve">The </w:t>
      </w:r>
      <w:r w:rsidR="00B22CE7">
        <w:rPr>
          <w:rFonts w:ascii="Times New Roman" w:hAnsi="Times New Roman"/>
          <w:szCs w:val="24"/>
        </w:rPr>
        <w:t>design consists of a</w:t>
      </w:r>
      <w:r w:rsidR="005407EE">
        <w:rPr>
          <w:rFonts w:ascii="Times New Roman" w:hAnsi="Times New Roman"/>
          <w:szCs w:val="24"/>
        </w:rPr>
        <w:t xml:space="preserve"> thick, circular</w:t>
      </w:r>
      <w:r w:rsidR="00B22CE7">
        <w:rPr>
          <w:rFonts w:ascii="Times New Roman" w:hAnsi="Times New Roman"/>
          <w:szCs w:val="24"/>
        </w:rPr>
        <w:t>,</w:t>
      </w:r>
      <w:r w:rsidR="005407EE">
        <w:rPr>
          <w:rFonts w:ascii="Times New Roman" w:hAnsi="Times New Roman"/>
          <w:szCs w:val="24"/>
        </w:rPr>
        <w:t xml:space="preserve"> semi-transparent block</w:t>
      </w:r>
      <w:r w:rsidR="00B22CE7">
        <w:rPr>
          <w:rFonts w:ascii="Times New Roman" w:hAnsi="Times New Roman"/>
          <w:szCs w:val="24"/>
        </w:rPr>
        <w:t xml:space="preserve"> of high-density polyethylene</w:t>
      </w:r>
      <w:r w:rsidR="005407EE">
        <w:rPr>
          <w:rFonts w:ascii="Times New Roman" w:hAnsi="Times New Roman"/>
          <w:szCs w:val="24"/>
        </w:rPr>
        <w:t xml:space="preserve"> that was cut to be overlain on top of the LED light. The piece acts as a light diffuser for the strongly concentrated LED light. The word “Agua” was printed on transparent paper </w:t>
      </w:r>
      <w:r w:rsidR="00B22CE7">
        <w:rPr>
          <w:rFonts w:ascii="Times New Roman" w:hAnsi="Times New Roman"/>
          <w:szCs w:val="24"/>
        </w:rPr>
        <w:t>and</w:t>
      </w:r>
      <w:r w:rsidR="005407EE">
        <w:rPr>
          <w:rFonts w:ascii="Times New Roman" w:hAnsi="Times New Roman"/>
          <w:szCs w:val="24"/>
        </w:rPr>
        <w:t xml:space="preserve"> placed on top of the light diffuser</w:t>
      </w:r>
      <w:r w:rsidR="00B22CE7">
        <w:rPr>
          <w:rFonts w:ascii="Times New Roman" w:hAnsi="Times New Roman"/>
          <w:szCs w:val="24"/>
        </w:rPr>
        <w:t xml:space="preserve"> for measuring lower </w:t>
      </w:r>
      <w:proofErr w:type="spellStart"/>
      <w:r w:rsidR="00B22CE7">
        <w:rPr>
          <w:rFonts w:ascii="Times New Roman" w:hAnsi="Times New Roman"/>
          <w:szCs w:val="24"/>
        </w:rPr>
        <w:t>turbidy</w:t>
      </w:r>
      <w:proofErr w:type="spellEnd"/>
      <w:r w:rsidR="005407EE">
        <w:rPr>
          <w:rFonts w:ascii="Times New Roman" w:hAnsi="Times New Roman"/>
          <w:szCs w:val="24"/>
        </w:rPr>
        <w:t>. Additionally, a thick black stripe was added across the diameter of the diffuser as well</w:t>
      </w:r>
      <w:r w:rsidR="00B22CE7">
        <w:rPr>
          <w:rFonts w:ascii="Times New Roman" w:hAnsi="Times New Roman"/>
          <w:szCs w:val="24"/>
        </w:rPr>
        <w:t xml:space="preserve"> with black tape, for measuring higher turbidity</w:t>
      </w:r>
      <w:r w:rsidR="005407EE">
        <w:rPr>
          <w:rFonts w:ascii="Times New Roman" w:hAnsi="Times New Roman"/>
          <w:szCs w:val="24"/>
        </w:rPr>
        <w:t>.</w:t>
      </w:r>
    </w:p>
    <w:p w:rsidR="00D6643E" w:rsidRDefault="005407EE">
      <w:pPr>
        <w:pStyle w:val="Body"/>
        <w:spacing w:after="0" w:line="480" w:lineRule="auto"/>
        <w:ind w:firstLine="360"/>
        <w:rPr>
          <w:rFonts w:ascii="Times New Roman" w:hAnsi="Times New Roman"/>
          <w:szCs w:val="24"/>
        </w:rPr>
      </w:pPr>
      <w:r>
        <w:rPr>
          <w:rFonts w:ascii="Times New Roman" w:hAnsi="Times New Roman"/>
          <w:szCs w:val="24"/>
        </w:rPr>
        <w:t xml:space="preserve">The </w:t>
      </w:r>
      <w:r w:rsidR="00D46770">
        <w:rPr>
          <w:rFonts w:ascii="Times New Roman" w:hAnsi="Times New Roman"/>
          <w:szCs w:val="24"/>
        </w:rPr>
        <w:t>t</w:t>
      </w:r>
      <w:r>
        <w:rPr>
          <w:rFonts w:ascii="Times New Roman" w:hAnsi="Times New Roman"/>
          <w:szCs w:val="24"/>
        </w:rPr>
        <w:t xml:space="preserve">eam felt that the prior method of adding </w:t>
      </w:r>
      <w:proofErr w:type="spellStart"/>
      <w:r>
        <w:rPr>
          <w:rFonts w:ascii="Times New Roman" w:hAnsi="Times New Roman"/>
          <w:szCs w:val="24"/>
        </w:rPr>
        <w:t>Kaolinite</w:t>
      </w:r>
      <w:proofErr w:type="spellEnd"/>
      <w:r>
        <w:rPr>
          <w:rFonts w:ascii="Times New Roman" w:hAnsi="Times New Roman"/>
          <w:szCs w:val="24"/>
        </w:rPr>
        <w:t xml:space="preserve"> clay particles, capping the </w:t>
      </w:r>
      <w:proofErr w:type="spellStart"/>
      <w:r>
        <w:rPr>
          <w:rFonts w:ascii="Times New Roman" w:hAnsi="Times New Roman"/>
          <w:szCs w:val="24"/>
        </w:rPr>
        <w:t>turbidimeter</w:t>
      </w:r>
      <w:proofErr w:type="spellEnd"/>
      <w:r>
        <w:rPr>
          <w:rFonts w:ascii="Times New Roman" w:hAnsi="Times New Roman"/>
          <w:szCs w:val="24"/>
        </w:rPr>
        <w:t xml:space="preserve"> body piece, and inverting the body piece multiple times to mix and suspend particles was possibly insufficient. Our hesitation to rely on this method arose when we discovered that </w:t>
      </w:r>
      <w:proofErr w:type="spellStart"/>
      <w:r>
        <w:rPr>
          <w:rFonts w:ascii="Times New Roman" w:hAnsi="Times New Roman"/>
          <w:szCs w:val="24"/>
        </w:rPr>
        <w:t>turbidimeter</w:t>
      </w:r>
      <w:proofErr w:type="spellEnd"/>
      <w:r>
        <w:rPr>
          <w:rFonts w:ascii="Times New Roman" w:hAnsi="Times New Roman"/>
          <w:szCs w:val="24"/>
        </w:rPr>
        <w:t xml:space="preserve"> measurements fluctuated depending on the lag time between mixing the body piece and taking the measurement- possibly due to the immediate </w:t>
      </w:r>
      <w:r>
        <w:rPr>
          <w:rFonts w:ascii="Times New Roman" w:hAnsi="Times New Roman"/>
          <w:szCs w:val="24"/>
        </w:rPr>
        <w:lastRenderedPageBreak/>
        <w:t>settling of clay particles. To test the accuracy of our calibration method and evaluate whether there existed a significant error source, samples were taken “in the field” straight from Ithaca water bodies</w:t>
      </w:r>
      <w:r w:rsidR="00211D37">
        <w:rPr>
          <w:rFonts w:ascii="Times New Roman" w:hAnsi="Times New Roman"/>
          <w:szCs w:val="24"/>
        </w:rPr>
        <w:t xml:space="preserve"> (Figure 5)</w:t>
      </w:r>
      <w:r>
        <w:rPr>
          <w:rFonts w:ascii="Times New Roman" w:hAnsi="Times New Roman"/>
          <w:szCs w:val="24"/>
        </w:rPr>
        <w:t xml:space="preserve">. </w:t>
      </w:r>
    </w:p>
    <w:p w:rsidR="00000000" w:rsidRDefault="00FC5285">
      <w:pPr>
        <w:pStyle w:val="Body"/>
        <w:spacing w:after="0" w:line="480" w:lineRule="auto"/>
        <w:rPr>
          <w:rFonts w:ascii="Times New Roman" w:hAnsi="Times New Roman"/>
          <w:szCs w:val="24"/>
        </w:rPr>
      </w:pPr>
    </w:p>
    <w:p w:rsidR="00000000" w:rsidRDefault="00D6643E">
      <w:pPr>
        <w:pStyle w:val="figure"/>
      </w:pPr>
      <w:r>
        <w:rPr>
          <w:noProof/>
        </w:rPr>
        <w:drawing>
          <wp:inline distT="0" distB="0" distL="0" distR="0">
            <wp:extent cx="3156857" cy="2366361"/>
            <wp:effectExtent l="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3156857" cy="2366361"/>
                    </a:xfrm>
                    <a:prstGeom prst="rect">
                      <a:avLst/>
                    </a:prstGeom>
                    <a:noFill/>
                    <a:ln>
                      <a:noFill/>
                    </a:ln>
                  </pic:spPr>
                </pic:pic>
              </a:graphicData>
            </a:graphic>
          </wp:inline>
        </w:drawing>
      </w:r>
    </w:p>
    <w:p w:rsidR="003E70B5" w:rsidRDefault="004F019C">
      <w:pPr>
        <w:pStyle w:val="Heading9"/>
      </w:pPr>
      <w:r>
        <w:t xml:space="preserve">Figure </w:t>
      </w:r>
      <w:r w:rsidR="00B85D08">
        <w:fldChar w:fldCharType="begin"/>
      </w:r>
      <w:r w:rsidR="00222156">
        <w:instrText xml:space="preserve"> SEQ Figure \* ARABIC </w:instrText>
      </w:r>
      <w:r w:rsidR="00B85D08">
        <w:fldChar w:fldCharType="separate"/>
      </w:r>
      <w:r w:rsidR="00022DCA">
        <w:rPr>
          <w:noProof/>
        </w:rPr>
        <w:t>5</w:t>
      </w:r>
      <w:r w:rsidR="00B85D08">
        <w:rPr>
          <w:noProof/>
        </w:rPr>
        <w:fldChar w:fldCharType="end"/>
      </w:r>
      <w:r>
        <w:t xml:space="preserve">: </w:t>
      </w:r>
      <w:r w:rsidRPr="0000094C">
        <w:t>Field measurements being taken directly from Ithaca water bodies. This measurement was taken after a particularly heavy storm; the turbidity of this particular field measurement was 107 NTU.</w:t>
      </w:r>
    </w:p>
    <w:p w:rsidR="004F019C" w:rsidRDefault="004F019C" w:rsidP="005407EE">
      <w:pPr>
        <w:pStyle w:val="Body"/>
        <w:spacing w:after="0" w:line="360" w:lineRule="auto"/>
        <w:ind w:firstLine="360"/>
      </w:pPr>
    </w:p>
    <w:p w:rsidR="005407EE" w:rsidRDefault="005407EE" w:rsidP="00745187">
      <w:pPr>
        <w:pStyle w:val="Body"/>
        <w:spacing w:after="0" w:line="480" w:lineRule="auto"/>
        <w:ind w:firstLine="360"/>
        <w:rPr>
          <w:rFonts w:ascii="Times New Roman" w:hAnsi="Times New Roman"/>
          <w:szCs w:val="24"/>
        </w:rPr>
      </w:pPr>
      <w:r>
        <w:rPr>
          <w:rFonts w:ascii="Times New Roman" w:hAnsi="Times New Roman"/>
          <w:szCs w:val="24"/>
        </w:rPr>
        <w:t xml:space="preserve">The portable </w:t>
      </w:r>
      <w:proofErr w:type="spellStart"/>
      <w:r>
        <w:rPr>
          <w:rFonts w:ascii="Times New Roman" w:hAnsi="Times New Roman"/>
          <w:szCs w:val="24"/>
        </w:rPr>
        <w:t>turbidimeter</w:t>
      </w:r>
      <w:proofErr w:type="spellEnd"/>
      <w:r>
        <w:rPr>
          <w:rFonts w:ascii="Times New Roman" w:hAnsi="Times New Roman"/>
          <w:szCs w:val="24"/>
        </w:rPr>
        <w:t xml:space="preserve"> was used to generate a </w:t>
      </w:r>
      <w:r w:rsidR="00D46770">
        <w:rPr>
          <w:rFonts w:ascii="Times New Roman" w:hAnsi="Times New Roman"/>
          <w:szCs w:val="24"/>
        </w:rPr>
        <w:t>turbidity measurement</w:t>
      </w:r>
      <w:r>
        <w:rPr>
          <w:rFonts w:ascii="Times New Roman" w:hAnsi="Times New Roman"/>
          <w:szCs w:val="24"/>
        </w:rPr>
        <w:t xml:space="preserve"> for each field sample. This measurement was then compared against the measurement generated by the Team’s dual-range </w:t>
      </w:r>
      <w:proofErr w:type="spellStart"/>
      <w:r>
        <w:rPr>
          <w:rFonts w:ascii="Times New Roman" w:hAnsi="Times New Roman"/>
          <w:szCs w:val="24"/>
        </w:rPr>
        <w:t>turbidimeter</w:t>
      </w:r>
      <w:proofErr w:type="spellEnd"/>
      <w:r>
        <w:rPr>
          <w:rFonts w:ascii="Times New Roman" w:hAnsi="Times New Roman"/>
          <w:szCs w:val="24"/>
        </w:rPr>
        <w:t xml:space="preserve"> (which was generated using the equation from the calibration experiment). Keeping in mind the goal of measurements with greater than 50 % accuracy, an analysis was performed to evaluate the calibration technique.</w:t>
      </w:r>
    </w:p>
    <w:p w:rsidR="005407EE" w:rsidRDefault="005407EE" w:rsidP="00745187">
      <w:pPr>
        <w:pStyle w:val="Body"/>
        <w:spacing w:after="0" w:line="480" w:lineRule="auto"/>
        <w:ind w:firstLine="360"/>
        <w:rPr>
          <w:rFonts w:ascii="Times New Roman" w:hAnsi="Times New Roman"/>
          <w:szCs w:val="24"/>
        </w:rPr>
      </w:pPr>
      <w:r>
        <w:rPr>
          <w:rFonts w:ascii="Times New Roman" w:hAnsi="Times New Roman"/>
          <w:szCs w:val="24"/>
        </w:rPr>
        <w:t xml:space="preserve">It should be noted that the measurement generated by the portable </w:t>
      </w:r>
      <w:proofErr w:type="spellStart"/>
      <w:r>
        <w:rPr>
          <w:rFonts w:ascii="Times New Roman" w:hAnsi="Times New Roman"/>
          <w:szCs w:val="24"/>
        </w:rPr>
        <w:t>turbidimeter</w:t>
      </w:r>
      <w:proofErr w:type="spellEnd"/>
      <w:r>
        <w:rPr>
          <w:rFonts w:ascii="Times New Roman" w:hAnsi="Times New Roman"/>
          <w:szCs w:val="24"/>
        </w:rPr>
        <w:t xml:space="preserve"> was assumed to be the “true” turbidity value, although the </w:t>
      </w:r>
      <w:r w:rsidR="00D46770">
        <w:rPr>
          <w:rFonts w:ascii="Times New Roman" w:hAnsi="Times New Roman"/>
          <w:szCs w:val="24"/>
        </w:rPr>
        <w:t>t</w:t>
      </w:r>
      <w:r>
        <w:rPr>
          <w:rFonts w:ascii="Times New Roman" w:hAnsi="Times New Roman"/>
          <w:szCs w:val="24"/>
        </w:rPr>
        <w:t xml:space="preserve">eam needs to further test the validity of this assumption, as there is reason to believe the portable </w:t>
      </w:r>
      <w:proofErr w:type="spellStart"/>
      <w:r>
        <w:rPr>
          <w:rFonts w:ascii="Times New Roman" w:hAnsi="Times New Roman"/>
          <w:szCs w:val="24"/>
        </w:rPr>
        <w:t>turbidimeter</w:t>
      </w:r>
      <w:proofErr w:type="spellEnd"/>
      <w:r>
        <w:rPr>
          <w:rFonts w:ascii="Times New Roman" w:hAnsi="Times New Roman"/>
          <w:szCs w:val="24"/>
        </w:rPr>
        <w:t xml:space="preserve"> is not 100% reliable and accurate. At present, the portable </w:t>
      </w:r>
      <w:proofErr w:type="spellStart"/>
      <w:r>
        <w:rPr>
          <w:rFonts w:ascii="Times New Roman" w:hAnsi="Times New Roman"/>
          <w:szCs w:val="24"/>
        </w:rPr>
        <w:t>turbidimeter</w:t>
      </w:r>
      <w:proofErr w:type="spellEnd"/>
      <w:r>
        <w:rPr>
          <w:rFonts w:ascii="Times New Roman" w:hAnsi="Times New Roman"/>
          <w:szCs w:val="24"/>
        </w:rPr>
        <w:t xml:space="preserve"> is our best resource for </w:t>
      </w:r>
      <w:r>
        <w:rPr>
          <w:rFonts w:ascii="Times New Roman" w:hAnsi="Times New Roman"/>
          <w:szCs w:val="24"/>
        </w:rPr>
        <w:lastRenderedPageBreak/>
        <w:t xml:space="preserve">turbidity measurements in the field, so this assumption was acceptable for first round accuracy testing of the dual-range </w:t>
      </w:r>
      <w:proofErr w:type="spellStart"/>
      <w:r>
        <w:rPr>
          <w:rFonts w:ascii="Times New Roman" w:hAnsi="Times New Roman"/>
          <w:szCs w:val="24"/>
        </w:rPr>
        <w:t>turbidimeter</w:t>
      </w:r>
      <w:proofErr w:type="spellEnd"/>
      <w:r>
        <w:rPr>
          <w:rFonts w:ascii="Times New Roman" w:hAnsi="Times New Roman"/>
          <w:szCs w:val="24"/>
        </w:rPr>
        <w:t xml:space="preserve">.  </w:t>
      </w:r>
    </w:p>
    <w:p w:rsidR="00B84FE2" w:rsidRDefault="001D4E2E" w:rsidP="00B84FE2">
      <w:pPr>
        <w:spacing w:line="480" w:lineRule="auto"/>
        <w:rPr>
          <w:rFonts w:eastAsia="Cambria"/>
          <w:color w:val="000000"/>
          <w:lang w:bidi="ar-SA"/>
        </w:rPr>
      </w:pPr>
      <w:r>
        <w:rPr>
          <w:rFonts w:eastAsia="Cambria"/>
          <w:lang w:bidi="ar-SA"/>
        </w:rPr>
        <w:tab/>
        <w:t xml:space="preserve">The team concluded that </w:t>
      </w:r>
      <w:r w:rsidR="00641E78">
        <w:rPr>
          <w:rStyle w:val="apple-style-span"/>
          <w:color w:val="000000"/>
        </w:rPr>
        <w:t xml:space="preserve">mixing the clay by inverting the tube several times </w:t>
      </w:r>
      <w:r>
        <w:rPr>
          <w:rStyle w:val="apple-style-span"/>
          <w:color w:val="000000"/>
        </w:rPr>
        <w:t xml:space="preserve">does not mix </w:t>
      </w:r>
      <w:r w:rsidR="00293D22">
        <w:rPr>
          <w:rStyle w:val="apple-style-span"/>
          <w:color w:val="000000"/>
        </w:rPr>
        <w:t xml:space="preserve">the clay </w:t>
      </w:r>
      <w:r>
        <w:rPr>
          <w:rStyle w:val="apple-style-span"/>
          <w:color w:val="000000"/>
        </w:rPr>
        <w:t>well enough to mimic the well</w:t>
      </w:r>
      <w:r w:rsidR="00293D22">
        <w:rPr>
          <w:rStyle w:val="apple-style-span"/>
          <w:color w:val="000000"/>
        </w:rPr>
        <w:t>-</w:t>
      </w:r>
      <w:r>
        <w:rPr>
          <w:rStyle w:val="apple-style-span"/>
          <w:color w:val="000000"/>
        </w:rPr>
        <w:t>mixed turbidity of a river or stream</w:t>
      </w:r>
      <w:r w:rsidR="00641E78">
        <w:rPr>
          <w:rStyle w:val="apple-style-span"/>
          <w:color w:val="000000"/>
        </w:rPr>
        <w:t xml:space="preserve">. The team also noticed that when trying to get a reading from the portable </w:t>
      </w:r>
      <w:proofErr w:type="spellStart"/>
      <w:r w:rsidR="00641E78">
        <w:rPr>
          <w:rStyle w:val="apple-style-span"/>
          <w:color w:val="000000"/>
        </w:rPr>
        <w:t>turbidimeter</w:t>
      </w:r>
      <w:proofErr w:type="spellEnd"/>
      <w:r w:rsidR="00641E78">
        <w:rPr>
          <w:rStyle w:val="apple-style-span"/>
          <w:color w:val="000000"/>
        </w:rPr>
        <w:t xml:space="preserve"> the NTU values would fluctuate. This led the team to believe that the portable </w:t>
      </w:r>
      <w:proofErr w:type="spellStart"/>
      <w:r w:rsidR="00641E78">
        <w:rPr>
          <w:rStyle w:val="apple-style-span"/>
          <w:color w:val="000000"/>
        </w:rPr>
        <w:t>turbidimeter</w:t>
      </w:r>
      <w:proofErr w:type="spellEnd"/>
      <w:r w:rsidR="00641E78">
        <w:rPr>
          <w:rStyle w:val="apple-style-span"/>
          <w:color w:val="000000"/>
        </w:rPr>
        <w:t xml:space="preserve"> was not accurate. </w:t>
      </w:r>
      <w:r w:rsidR="00B84FE2">
        <w:rPr>
          <w:rFonts w:eastAsia="Cambria"/>
          <w:color w:val="000000"/>
          <w:lang w:bidi="ar-SA"/>
        </w:rPr>
        <w:t xml:space="preserve">Thus, the team decided to use an experimental setup that allowed constantly-mixed water and clay to be cycled to an online </w:t>
      </w:r>
      <w:proofErr w:type="spellStart"/>
      <w:r w:rsidR="00B84FE2">
        <w:rPr>
          <w:rFonts w:eastAsia="Cambria"/>
          <w:color w:val="000000"/>
          <w:lang w:bidi="ar-SA"/>
        </w:rPr>
        <w:t>turbidimeter</w:t>
      </w:r>
      <w:proofErr w:type="spellEnd"/>
      <w:r w:rsidR="00B84FE2">
        <w:rPr>
          <w:rFonts w:eastAsia="Cambria"/>
          <w:color w:val="000000"/>
          <w:lang w:bidi="ar-SA"/>
        </w:rPr>
        <w:t xml:space="preserve"> using a water pump (Figure 6). </w:t>
      </w:r>
    </w:p>
    <w:p w:rsidR="00000000" w:rsidRDefault="002D4929" w:rsidP="00225350">
      <w:pPr>
        <w:pStyle w:val="figure"/>
      </w:pPr>
      <w:r>
        <w:rPr>
          <w:noProof/>
        </w:rPr>
        <w:drawing>
          <wp:inline distT="0" distB="0" distL="0" distR="0">
            <wp:extent cx="4180114" cy="2960914"/>
            <wp:effectExtent l="0" t="0" r="0" b="0"/>
            <wp:docPr id="17" name="Object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486400" cy="4277499"/>
                      <a:chOff x="1600200" y="1104900"/>
                      <a:chExt cx="5486400" cy="4277499"/>
                    </a:xfrm>
                  </a:grpSpPr>
                  <a:grpSp>
                    <a:nvGrpSpPr>
                      <a:cNvPr id="40" name="Group 39"/>
                      <a:cNvGrpSpPr/>
                    </a:nvGrpSpPr>
                    <a:grpSpPr>
                      <a:xfrm>
                        <a:off x="1600200" y="1104900"/>
                        <a:ext cx="5486400" cy="4277499"/>
                        <a:chOff x="1600200" y="1104900"/>
                        <a:chExt cx="5486400" cy="4277499"/>
                      </a:xfrm>
                    </a:grpSpPr>
                    <a:grpSp>
                      <a:nvGrpSpPr>
                        <a:cNvPr id="3" name="Group 26"/>
                        <a:cNvGrpSpPr/>
                      </a:nvGrpSpPr>
                      <a:grpSpPr>
                        <a:xfrm>
                          <a:off x="2286000" y="1104900"/>
                          <a:ext cx="4800600" cy="4277499"/>
                          <a:chOff x="2286000" y="1104900"/>
                          <a:chExt cx="4800600" cy="4277499"/>
                        </a:xfrm>
                      </a:grpSpPr>
                      <a:sp>
                        <a:nvSpPr>
                          <a:cNvPr id="4" name="Rectangle 3"/>
                          <a:cNvSpPr/>
                        </a:nvSpPr>
                        <a:spPr>
                          <a:xfrm>
                            <a:off x="2438400" y="1981200"/>
                            <a:ext cx="838200" cy="685800"/>
                          </a:xfrm>
                          <a:prstGeom prst="rect">
                            <a:avLst/>
                          </a:prstGeom>
                          <a:solidFill>
                            <a:schemeClr val="tx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sz="800"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5" name="Rectangle 4"/>
                          <a:cNvSpPr/>
                        </a:nvSpPr>
                        <a:spPr>
                          <a:xfrm>
                            <a:off x="2743200" y="2286000"/>
                            <a:ext cx="228600" cy="152400"/>
                          </a:xfrm>
                          <a:prstGeom prst="rect">
                            <a:avLst/>
                          </a:prstGeom>
                          <a:solidFill>
                            <a:schemeClr val="bg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r>
                                <a:rPr lang="en-US" sz="800" dirty="0" smtClean="0"/>
                                <a:t>1</a:t>
                              </a:r>
                              <a:endParaRPr lang="en-US" sz="800"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7" name="Rectangle 6"/>
                          <a:cNvSpPr/>
                        </a:nvSpPr>
                        <a:spPr>
                          <a:xfrm>
                            <a:off x="2667000" y="1905000"/>
                            <a:ext cx="76200" cy="76200"/>
                          </a:xfrm>
                          <a:prstGeom prst="rect">
                            <a:avLst/>
                          </a:prstGeom>
                          <a:solidFill>
                            <a:schemeClr val="tx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8" name="Rectangle 7"/>
                          <a:cNvSpPr/>
                        </a:nvSpPr>
                        <a:spPr>
                          <a:xfrm>
                            <a:off x="2971800" y="1905000"/>
                            <a:ext cx="76200" cy="76200"/>
                          </a:xfrm>
                          <a:prstGeom prst="rect">
                            <a:avLst/>
                          </a:prstGeom>
                          <a:solidFill>
                            <a:schemeClr val="tx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9" name="Rectangle 8"/>
                          <a:cNvSpPr/>
                        </a:nvSpPr>
                        <a:spPr>
                          <a:xfrm>
                            <a:off x="4267200" y="2133600"/>
                            <a:ext cx="457200" cy="457200"/>
                          </a:xfrm>
                          <a:prstGeom prst="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0" name="Oval 9"/>
                          <a:cNvSpPr/>
                        </a:nvSpPr>
                        <a:spPr>
                          <a:xfrm>
                            <a:off x="4381500" y="2362200"/>
                            <a:ext cx="228600" cy="228600"/>
                          </a:xfrm>
                          <a:prstGeom prst="ellipse">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dirty="0"/>
                            </a:p>
                          </a:txBody>
                          <a:useSpRect/>
                        </a:txSp>
                        <a:style>
                          <a:lnRef idx="2">
                            <a:schemeClr val="dk1">
                              <a:shade val="50000"/>
                            </a:schemeClr>
                          </a:lnRef>
                          <a:fillRef idx="1">
                            <a:schemeClr val="dk1"/>
                          </a:fillRef>
                          <a:effectRef idx="0">
                            <a:schemeClr val="dk1"/>
                          </a:effectRef>
                          <a:fontRef idx="minor">
                            <a:schemeClr val="lt1"/>
                          </a:fontRef>
                        </a:style>
                      </a:sp>
                      <a:sp>
                        <a:nvSpPr>
                          <a:cNvPr id="11" name="Rectangle 10"/>
                          <a:cNvSpPr/>
                        </a:nvSpPr>
                        <a:spPr>
                          <a:xfrm>
                            <a:off x="4419600" y="2286000"/>
                            <a:ext cx="45719" cy="76200"/>
                          </a:xfrm>
                          <a:prstGeom prst="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dk1">
                              <a:shade val="50000"/>
                            </a:schemeClr>
                          </a:lnRef>
                          <a:fillRef idx="1">
                            <a:schemeClr val="dk1"/>
                          </a:fillRef>
                          <a:effectRef idx="0">
                            <a:schemeClr val="dk1"/>
                          </a:effectRef>
                          <a:fontRef idx="minor">
                            <a:schemeClr val="lt1"/>
                          </a:fontRef>
                        </a:style>
                      </a:sp>
                      <a:sp>
                        <a:nvSpPr>
                          <a:cNvPr id="12" name="Oval 11"/>
                          <a:cNvSpPr/>
                        </a:nvSpPr>
                        <a:spPr>
                          <a:xfrm>
                            <a:off x="4457700" y="2438400"/>
                            <a:ext cx="76200" cy="76200"/>
                          </a:xfrm>
                          <a:prstGeom prst="ellipse">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en-US"/>
                            </a:p>
                          </a:txBody>
                          <a:useSpRect/>
                        </a:txSp>
                        <a:style>
                          <a:lnRef idx="1">
                            <a:schemeClr val="accent1"/>
                          </a:lnRef>
                          <a:fillRef idx="2">
                            <a:schemeClr val="accent1"/>
                          </a:fillRef>
                          <a:effectRef idx="1">
                            <a:schemeClr val="accent1"/>
                          </a:effectRef>
                          <a:fontRef idx="minor">
                            <a:schemeClr val="dk1"/>
                          </a:fontRef>
                        </a:style>
                      </a:sp>
                      <a:sp>
                        <a:nvSpPr>
                          <a:cNvPr id="13" name="TextBox 12"/>
                          <a:cNvSpPr txBox="1"/>
                        </a:nvSpPr>
                        <a:spPr>
                          <a:xfrm>
                            <a:off x="4724400" y="2209800"/>
                            <a:ext cx="609600"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t>Pump</a:t>
                              </a:r>
                              <a:endParaRPr lang="en-US" sz="1200" dirty="0"/>
                            </a:p>
                          </a:txBody>
                          <a:useSpRect/>
                        </a:txSp>
                      </a:sp>
                      <a:sp>
                        <a:nvSpPr>
                          <a:cNvPr id="14" name="Can 13"/>
                          <a:cNvSpPr/>
                        </a:nvSpPr>
                        <a:spPr>
                          <a:xfrm>
                            <a:off x="5638800" y="1524000"/>
                            <a:ext cx="228600" cy="3352800"/>
                          </a:xfrm>
                          <a:prstGeom prst="can">
                            <a:avLst/>
                          </a:prstGeom>
                        </a:spPr>
                        <a:txSp>
                          <a:txBody>
                            <a:bodyPr rtlCol="0" anchor="ctr"/>
                            <a:lstStyle>
                              <a:defPPr>
                                <a:defRPr lang="en-US"/>
                              </a:defPPr>
                              <a:lvl1pPr marL="0" algn="l" defTabSz="914400" rtl="0" eaLnBrk="1" latinLnBrk="0" hangingPunct="1">
                                <a:defRPr sz="1800" kern="1200">
                                  <a:solidFill>
                                    <a:schemeClr val="dk1"/>
                                  </a:solidFill>
                                  <a:latin typeface="+mn-lt"/>
                                  <a:ea typeface="+mn-ea"/>
                                  <a:cs typeface="+mn-cs"/>
                                </a:defRPr>
                              </a:lvl1pPr>
                              <a:lvl2pPr marL="457200" algn="l" defTabSz="914400" rtl="0" eaLnBrk="1" latinLnBrk="0" hangingPunct="1">
                                <a:defRPr sz="1800" kern="1200">
                                  <a:solidFill>
                                    <a:schemeClr val="dk1"/>
                                  </a:solidFill>
                                  <a:latin typeface="+mn-lt"/>
                                  <a:ea typeface="+mn-ea"/>
                                  <a:cs typeface="+mn-cs"/>
                                </a:defRPr>
                              </a:lvl2pPr>
                              <a:lvl3pPr marL="914400" algn="l" defTabSz="914400" rtl="0" eaLnBrk="1" latinLnBrk="0" hangingPunct="1">
                                <a:defRPr sz="1800" kern="1200">
                                  <a:solidFill>
                                    <a:schemeClr val="dk1"/>
                                  </a:solidFill>
                                  <a:latin typeface="+mn-lt"/>
                                  <a:ea typeface="+mn-ea"/>
                                  <a:cs typeface="+mn-cs"/>
                                </a:defRPr>
                              </a:lvl3pPr>
                              <a:lvl4pPr marL="1371600" algn="l" defTabSz="914400" rtl="0" eaLnBrk="1" latinLnBrk="0" hangingPunct="1">
                                <a:defRPr sz="1800" kern="1200">
                                  <a:solidFill>
                                    <a:schemeClr val="dk1"/>
                                  </a:solidFill>
                                  <a:latin typeface="+mn-lt"/>
                                  <a:ea typeface="+mn-ea"/>
                                  <a:cs typeface="+mn-cs"/>
                                </a:defRPr>
                              </a:lvl4pPr>
                              <a:lvl5pPr marL="1828800" algn="l" defTabSz="914400" rtl="0" eaLnBrk="1" latinLnBrk="0" hangingPunct="1">
                                <a:defRPr sz="1800" kern="1200">
                                  <a:solidFill>
                                    <a:schemeClr val="dk1"/>
                                  </a:solidFill>
                                  <a:latin typeface="+mn-lt"/>
                                  <a:ea typeface="+mn-ea"/>
                                  <a:cs typeface="+mn-cs"/>
                                </a:defRPr>
                              </a:lvl5pPr>
                              <a:lvl6pPr marL="2286000" algn="l" defTabSz="914400" rtl="0" eaLnBrk="1" latinLnBrk="0" hangingPunct="1">
                                <a:defRPr sz="1800" kern="1200">
                                  <a:solidFill>
                                    <a:schemeClr val="dk1"/>
                                  </a:solidFill>
                                  <a:latin typeface="+mn-lt"/>
                                  <a:ea typeface="+mn-ea"/>
                                  <a:cs typeface="+mn-cs"/>
                                </a:defRPr>
                              </a:lvl6pPr>
                              <a:lvl7pPr marL="2743200" algn="l" defTabSz="914400" rtl="0" eaLnBrk="1" latinLnBrk="0" hangingPunct="1">
                                <a:defRPr sz="1800" kern="1200">
                                  <a:solidFill>
                                    <a:schemeClr val="dk1"/>
                                  </a:solidFill>
                                  <a:latin typeface="+mn-lt"/>
                                  <a:ea typeface="+mn-ea"/>
                                  <a:cs typeface="+mn-cs"/>
                                </a:defRPr>
                              </a:lvl7pPr>
                              <a:lvl8pPr marL="3200400" algn="l" defTabSz="914400" rtl="0" eaLnBrk="1" latinLnBrk="0" hangingPunct="1">
                                <a:defRPr sz="1800" kern="1200">
                                  <a:solidFill>
                                    <a:schemeClr val="dk1"/>
                                  </a:solidFill>
                                  <a:latin typeface="+mn-lt"/>
                                  <a:ea typeface="+mn-ea"/>
                                  <a:cs typeface="+mn-cs"/>
                                </a:defRPr>
                              </a:lvl8pPr>
                              <a:lvl9pPr marL="3657600" algn="l" defTabSz="914400" rtl="0" eaLnBrk="1" latinLnBrk="0" hangingPunct="1">
                                <a:defRPr sz="1800" kern="1200">
                                  <a:solidFill>
                                    <a:schemeClr val="dk1"/>
                                  </a:solidFill>
                                  <a:latin typeface="+mn-lt"/>
                                  <a:ea typeface="+mn-ea"/>
                                  <a:cs typeface="+mn-cs"/>
                                </a:defRPr>
                              </a:lvl9pPr>
                            </a:lstStyle>
                            <a:p>
                              <a:pPr algn="ctr"/>
                              <a:endParaRPr lang="en-US"/>
                            </a:p>
                          </a:txBody>
                          <a:useSpRect/>
                        </a:txSp>
                        <a:style>
                          <a:lnRef idx="1">
                            <a:schemeClr val="dk1"/>
                          </a:lnRef>
                          <a:fillRef idx="2">
                            <a:schemeClr val="dk1"/>
                          </a:fillRef>
                          <a:effectRef idx="1">
                            <a:schemeClr val="dk1"/>
                          </a:effectRef>
                          <a:fontRef idx="minor">
                            <a:schemeClr val="dk1"/>
                          </a:fontRef>
                        </a:style>
                      </a:sp>
                      <a:sp>
                        <a:nvSpPr>
                          <a:cNvPr id="15" name="Can 14"/>
                          <a:cNvSpPr/>
                        </a:nvSpPr>
                        <a:spPr>
                          <a:xfrm>
                            <a:off x="5676900" y="4724400"/>
                            <a:ext cx="152400" cy="76200"/>
                          </a:xfrm>
                          <a:prstGeom prst="can">
                            <a:avLst/>
                          </a:prstGeom>
                          <a:solidFill>
                            <a:schemeClr val="bg1"/>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accent1">
                              <a:shade val="50000"/>
                            </a:schemeClr>
                          </a:lnRef>
                          <a:fillRef idx="1">
                            <a:schemeClr val="accent1"/>
                          </a:fillRef>
                          <a:effectRef idx="0">
                            <a:schemeClr val="accent1"/>
                          </a:effectRef>
                          <a:fontRef idx="minor">
                            <a:schemeClr val="lt1"/>
                          </a:fontRef>
                        </a:style>
                      </a:sp>
                      <a:sp>
                        <a:nvSpPr>
                          <a:cNvPr id="16" name="Rectangle 15"/>
                          <a:cNvSpPr/>
                        </a:nvSpPr>
                        <a:spPr>
                          <a:xfrm>
                            <a:off x="5791200" y="1219200"/>
                            <a:ext cx="45719" cy="3581400"/>
                          </a:xfrm>
                          <a:prstGeom prst="rect">
                            <a:avLst/>
                          </a:prstGeom>
                          <a:solidFill>
                            <a:schemeClr val="bg2">
                              <a:lumMod val="50000"/>
                            </a:schemeClr>
                          </a:solidFill>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dk1">
                              <a:shade val="50000"/>
                            </a:schemeClr>
                          </a:lnRef>
                          <a:fillRef idx="1">
                            <a:schemeClr val="dk1"/>
                          </a:fillRef>
                          <a:effectRef idx="0">
                            <a:schemeClr val="dk1"/>
                          </a:effectRef>
                          <a:fontRef idx="minor">
                            <a:schemeClr val="lt1"/>
                          </a:fontRef>
                        </a:style>
                      </a:sp>
                      <a:cxnSp>
                        <a:nvCxnSpPr>
                          <a:cNvPr id="21" name="Curved Connector 20"/>
                          <a:cNvCxnSpPr>
                            <a:stCxn id="8" idx="0"/>
                            <a:endCxn id="11" idx="0"/>
                          </a:cNvCxnSpPr>
                        </a:nvCxnSpPr>
                        <a:spPr>
                          <a:xfrm rot="16200000" flipH="1">
                            <a:off x="3535680" y="1379220"/>
                            <a:ext cx="381000" cy="1432560"/>
                          </a:xfrm>
                          <a:prstGeom prst="curvedConnector3">
                            <a:avLst>
                              <a:gd name="adj1" fmla="val -60000"/>
                            </a:avLst>
                          </a:prstGeom>
                        </a:spPr>
                        <a:style>
                          <a:lnRef idx="3">
                            <a:schemeClr val="accent5"/>
                          </a:lnRef>
                          <a:fillRef idx="0">
                            <a:schemeClr val="accent5"/>
                          </a:fillRef>
                          <a:effectRef idx="2">
                            <a:schemeClr val="accent5"/>
                          </a:effectRef>
                          <a:fontRef idx="minor">
                            <a:schemeClr val="tx1"/>
                          </a:fontRef>
                        </a:style>
                      </a:cxnSp>
                      <a:sp>
                        <a:nvSpPr>
                          <a:cNvPr id="23" name="Rectangle 22"/>
                          <a:cNvSpPr/>
                        </a:nvSpPr>
                        <a:spPr>
                          <a:xfrm>
                            <a:off x="5562600" y="1676400"/>
                            <a:ext cx="76200" cy="45719"/>
                          </a:xfrm>
                          <a:prstGeom prst="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dk1">
                              <a:shade val="50000"/>
                            </a:schemeClr>
                          </a:lnRef>
                          <a:fillRef idx="1">
                            <a:schemeClr val="dk1"/>
                          </a:fillRef>
                          <a:effectRef idx="0">
                            <a:schemeClr val="dk1"/>
                          </a:effectRef>
                          <a:fontRef idx="minor">
                            <a:schemeClr val="lt1"/>
                          </a:fontRef>
                        </a:style>
                      </a:sp>
                      <a:sp>
                        <a:nvSpPr>
                          <a:cNvPr id="24" name="Rectangle 23"/>
                          <a:cNvSpPr/>
                        </a:nvSpPr>
                        <a:spPr>
                          <a:xfrm>
                            <a:off x="5562600" y="4724400"/>
                            <a:ext cx="76200" cy="45719"/>
                          </a:xfrm>
                          <a:prstGeom prst="rect">
                            <a:avLst/>
                          </a:prstGeom>
                        </a:spPr>
                        <a:txSp>
                          <a:txBody>
                            <a:bodyPr rtlCol="0" anchor="ctr"/>
                            <a:lstStyle>
                              <a:defPPr>
                                <a:defRPr lang="en-US"/>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en-US"/>
                            </a:p>
                          </a:txBody>
                          <a:useSpRect/>
                        </a:txSp>
                        <a:style>
                          <a:lnRef idx="2">
                            <a:schemeClr val="dk1">
                              <a:shade val="50000"/>
                            </a:schemeClr>
                          </a:lnRef>
                          <a:fillRef idx="1">
                            <a:schemeClr val="dk1"/>
                          </a:fillRef>
                          <a:effectRef idx="0">
                            <a:schemeClr val="dk1"/>
                          </a:effectRef>
                          <a:fontRef idx="minor">
                            <a:schemeClr val="lt1"/>
                          </a:fontRef>
                        </a:style>
                      </a:sp>
                      <a:cxnSp>
                        <a:nvCxnSpPr>
                          <a:cNvPr id="26" name="Shape 25"/>
                          <a:cNvCxnSpPr>
                            <a:stCxn id="12" idx="4"/>
                            <a:endCxn id="24" idx="1"/>
                          </a:cNvCxnSpPr>
                        </a:nvCxnSpPr>
                        <a:spPr>
                          <a:xfrm rot="16200000" flipH="1">
                            <a:off x="3912870" y="3097530"/>
                            <a:ext cx="2232660" cy="1066800"/>
                          </a:xfrm>
                          <a:prstGeom prst="curvedConnector2">
                            <a:avLst/>
                          </a:prstGeom>
                        </a:spPr>
                        <a:style>
                          <a:lnRef idx="3">
                            <a:schemeClr val="accent5"/>
                          </a:lnRef>
                          <a:fillRef idx="0">
                            <a:schemeClr val="accent5"/>
                          </a:fillRef>
                          <a:effectRef idx="2">
                            <a:schemeClr val="accent5"/>
                          </a:effectRef>
                          <a:fontRef idx="minor">
                            <a:schemeClr val="tx1"/>
                          </a:fontRef>
                        </a:style>
                      </a:cxnSp>
                      <a:sp>
                        <a:nvSpPr>
                          <a:cNvPr id="32" name="Freeform 31"/>
                          <a:cNvSpPr/>
                        </a:nvSpPr>
                        <a:spPr>
                          <a:xfrm>
                            <a:off x="2715768" y="1104900"/>
                            <a:ext cx="2862072" cy="806196"/>
                          </a:xfrm>
                          <a:custGeom>
                            <a:avLst/>
                            <a:gdLst>
                              <a:gd name="connsiteX0" fmla="*/ 2862072 w 2862072"/>
                              <a:gd name="connsiteY0" fmla="*/ 577596 h 806196"/>
                              <a:gd name="connsiteX1" fmla="*/ 1298448 w 2862072"/>
                              <a:gd name="connsiteY1" fmla="*/ 38100 h 806196"/>
                              <a:gd name="connsiteX2" fmla="*/ 0 w 2862072"/>
                              <a:gd name="connsiteY2" fmla="*/ 806196 h 806196"/>
                            </a:gdLst>
                            <a:ahLst/>
                            <a:cxnLst>
                              <a:cxn ang="0">
                                <a:pos x="connsiteX0" y="connsiteY0"/>
                              </a:cxn>
                              <a:cxn ang="0">
                                <a:pos x="connsiteX1" y="connsiteY1"/>
                              </a:cxn>
                              <a:cxn ang="0">
                                <a:pos x="connsiteX2" y="connsiteY2"/>
                              </a:cxn>
                            </a:cxnLst>
                            <a:rect l="l" t="t" r="r" b="b"/>
                            <a:pathLst>
                              <a:path w="2862072" h="806196">
                                <a:moveTo>
                                  <a:pt x="2862072" y="577596"/>
                                </a:moveTo>
                                <a:cubicBezTo>
                                  <a:pt x="2318766" y="288798"/>
                                  <a:pt x="1775460" y="0"/>
                                  <a:pt x="1298448" y="38100"/>
                                </a:cubicBezTo>
                                <a:cubicBezTo>
                                  <a:pt x="821436" y="76200"/>
                                  <a:pt x="410718" y="441198"/>
                                  <a:pt x="0" y="806196"/>
                                </a:cubicBezTo>
                              </a:path>
                            </a:pathLst>
                          </a:custGeom>
                        </a:spPr>
                        <a:txSp>
                          <a:txBody>
                            <a:bodyPr rtlCol="0" anchor="ct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en-US"/>
                            </a:p>
                          </a:txBody>
                          <a:useSpRect/>
                        </a:txSp>
                        <a:style>
                          <a:lnRef idx="3">
                            <a:schemeClr val="accent5"/>
                          </a:lnRef>
                          <a:fillRef idx="0">
                            <a:schemeClr val="accent5"/>
                          </a:fillRef>
                          <a:effectRef idx="2">
                            <a:schemeClr val="accent5"/>
                          </a:effectRef>
                          <a:fontRef idx="minor">
                            <a:schemeClr val="tx1"/>
                          </a:fontRef>
                        </a:style>
                      </a:sp>
                      <a:cxnSp>
                        <a:nvCxnSpPr>
                          <a:cNvPr id="34" name="Straight Arrow Connector 33"/>
                          <a:cNvCxnSpPr>
                            <a:endCxn id="15" idx="3"/>
                          </a:cNvCxnSpPr>
                        </a:nvCxnSpPr>
                        <a:spPr>
                          <a:xfrm rot="10800000">
                            <a:off x="5753100" y="4800600"/>
                            <a:ext cx="495300" cy="381000"/>
                          </a:xfrm>
                          <a:prstGeom prst="straightConnector1">
                            <a:avLst/>
                          </a:prstGeom>
                          <a:ln>
                            <a:tailEnd type="arrow"/>
                          </a:ln>
                        </a:spPr>
                        <a:style>
                          <a:lnRef idx="2">
                            <a:schemeClr val="dk1"/>
                          </a:lnRef>
                          <a:fillRef idx="0">
                            <a:schemeClr val="dk1"/>
                          </a:fillRef>
                          <a:effectRef idx="1">
                            <a:schemeClr val="dk1"/>
                          </a:effectRef>
                          <a:fontRef idx="minor">
                            <a:schemeClr val="tx1"/>
                          </a:fontRef>
                        </a:style>
                      </a:cxnSp>
                      <a:sp>
                        <a:nvSpPr>
                          <a:cNvPr id="35" name="TextBox 34"/>
                          <a:cNvSpPr txBox="1"/>
                        </a:nvSpPr>
                        <a:spPr>
                          <a:xfrm>
                            <a:off x="6248400" y="5105400"/>
                            <a:ext cx="457200"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dirty="0" smtClean="0"/>
                                <a:t>LED</a:t>
                              </a:r>
                              <a:endParaRPr lang="en-US" sz="1200" dirty="0"/>
                            </a:p>
                          </a:txBody>
                          <a:useSpRect/>
                        </a:txSp>
                      </a:sp>
                      <a:cxnSp>
                        <a:nvCxnSpPr>
                          <a:cNvPr id="37" name="Straight Arrow Connector 36"/>
                          <a:cNvCxnSpPr/>
                        </a:nvCxnSpPr>
                        <a:spPr>
                          <a:xfrm rot="5400000">
                            <a:off x="5791200" y="1524000"/>
                            <a:ext cx="457200" cy="457200"/>
                          </a:xfrm>
                          <a:prstGeom prst="straightConnector1">
                            <a:avLst/>
                          </a:prstGeom>
                          <a:ln>
                            <a:tailEnd type="arrow"/>
                          </a:ln>
                        </a:spPr>
                        <a:style>
                          <a:lnRef idx="2">
                            <a:schemeClr val="dk1"/>
                          </a:lnRef>
                          <a:fillRef idx="0">
                            <a:schemeClr val="dk1"/>
                          </a:fillRef>
                          <a:effectRef idx="1">
                            <a:schemeClr val="dk1"/>
                          </a:effectRef>
                          <a:fontRef idx="minor">
                            <a:schemeClr val="tx1"/>
                          </a:fontRef>
                        </a:style>
                      </a:cxnSp>
                      <a:sp>
                        <a:nvSpPr>
                          <a:cNvPr id="38" name="TextBox 37"/>
                          <a:cNvSpPr txBox="1"/>
                        </a:nvSpPr>
                        <a:spPr>
                          <a:xfrm>
                            <a:off x="6172200" y="1371600"/>
                            <a:ext cx="914400"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t>Meter stick</a:t>
                              </a:r>
                              <a:endParaRPr lang="en-US" sz="1200" dirty="0"/>
                            </a:p>
                          </a:txBody>
                          <a:useSpRect/>
                        </a:txSp>
                      </a:sp>
                      <a:cxnSp>
                        <a:nvCxnSpPr>
                          <a:cNvPr id="42" name="Straight Arrow Connector 41"/>
                          <a:cNvCxnSpPr/>
                        </a:nvCxnSpPr>
                        <a:spPr>
                          <a:xfrm>
                            <a:off x="5257800" y="1981200"/>
                            <a:ext cx="381000" cy="152400"/>
                          </a:xfrm>
                          <a:prstGeom prst="straightConnector1">
                            <a:avLst/>
                          </a:prstGeom>
                          <a:ln>
                            <a:tailEnd type="arrow"/>
                          </a:ln>
                        </a:spPr>
                        <a:style>
                          <a:lnRef idx="2">
                            <a:schemeClr val="dk1"/>
                          </a:lnRef>
                          <a:fillRef idx="0">
                            <a:schemeClr val="dk1"/>
                          </a:fillRef>
                          <a:effectRef idx="1">
                            <a:schemeClr val="dk1"/>
                          </a:effectRef>
                          <a:fontRef idx="minor">
                            <a:schemeClr val="tx1"/>
                          </a:fontRef>
                        </a:style>
                      </a:cxnSp>
                      <a:sp>
                        <a:nvSpPr>
                          <a:cNvPr id="43" name="TextBox 42"/>
                          <a:cNvSpPr txBox="1"/>
                        </a:nvSpPr>
                        <a:spPr>
                          <a:xfrm>
                            <a:off x="4876800" y="1752600"/>
                            <a:ext cx="533400"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sz="1200" dirty="0" smtClean="0"/>
                                <a:t>Tube</a:t>
                              </a:r>
                              <a:endParaRPr lang="en-US" sz="1200" dirty="0"/>
                            </a:p>
                          </a:txBody>
                          <a:useSpRect/>
                        </a:txSp>
                      </a:sp>
                      <a:sp>
                        <a:nvSpPr>
                          <a:cNvPr id="44" name="TextBox 43"/>
                          <a:cNvSpPr txBox="1"/>
                        </a:nvSpPr>
                        <a:spPr>
                          <a:xfrm>
                            <a:off x="2286000" y="2743200"/>
                            <a:ext cx="1143000" cy="553998"/>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000" dirty="0" smtClean="0"/>
                                <a:t>Turbidimeter connected to Process </a:t>
                              </a:r>
                              <a:r>
                                <a:rPr lang="en-US" sz="1000" dirty="0"/>
                                <a:t>C</a:t>
                              </a:r>
                              <a:r>
                                <a:rPr lang="en-US" sz="1000" dirty="0" smtClean="0"/>
                                <a:t>ontroller</a:t>
                              </a:r>
                              <a:endParaRPr lang="en-US" sz="1000" dirty="0"/>
                            </a:p>
                          </a:txBody>
                          <a:useSpRect/>
                        </a:txSp>
                      </a:sp>
                    </a:grpSp>
                    <a:cxnSp>
                      <a:nvCxnSpPr>
                        <a:cNvPr id="29" name="Straight Arrow Connector 28"/>
                        <a:cNvCxnSpPr>
                          <a:endCxn id="8" idx="0"/>
                        </a:cNvCxnSpPr>
                      </a:nvCxnSpPr>
                      <a:spPr>
                        <a:xfrm rot="16200000" flipH="1">
                          <a:off x="2724150" y="1619250"/>
                          <a:ext cx="457200" cy="114300"/>
                        </a:xfrm>
                        <a:prstGeom prst="straightConnector1">
                          <a:avLst/>
                        </a:prstGeom>
                        <a:ln>
                          <a:tailEnd type="arrow"/>
                        </a:ln>
                      </a:spPr>
                      <a:style>
                        <a:lnRef idx="2">
                          <a:schemeClr val="dk1"/>
                        </a:lnRef>
                        <a:fillRef idx="0">
                          <a:schemeClr val="dk1"/>
                        </a:fillRef>
                        <a:effectRef idx="1">
                          <a:schemeClr val="dk1"/>
                        </a:effectRef>
                        <a:fontRef idx="minor">
                          <a:schemeClr val="tx1"/>
                        </a:fontRef>
                      </a:style>
                    </a:cxnSp>
                    <a:cxnSp>
                      <a:nvCxnSpPr>
                        <a:cNvPr id="31" name="Straight Arrow Connector 30"/>
                        <a:cNvCxnSpPr>
                          <a:endCxn id="7" idx="0"/>
                        </a:cNvCxnSpPr>
                      </a:nvCxnSpPr>
                      <a:spPr>
                        <a:xfrm>
                          <a:off x="2286000" y="1752600"/>
                          <a:ext cx="419100" cy="152400"/>
                        </a:xfrm>
                        <a:prstGeom prst="straightConnector1">
                          <a:avLst/>
                        </a:prstGeom>
                        <a:ln>
                          <a:tailEnd type="arrow"/>
                        </a:ln>
                      </a:spPr>
                      <a:style>
                        <a:lnRef idx="2">
                          <a:schemeClr val="dk1"/>
                        </a:lnRef>
                        <a:fillRef idx="0">
                          <a:schemeClr val="dk1"/>
                        </a:fillRef>
                        <a:effectRef idx="1">
                          <a:schemeClr val="dk1"/>
                        </a:effectRef>
                        <a:fontRef idx="minor">
                          <a:schemeClr val="tx1"/>
                        </a:fontRef>
                      </a:style>
                    </a:cxnSp>
                    <a:sp>
                      <a:nvSpPr>
                        <a:cNvPr id="36" name="TextBox 35"/>
                        <a:cNvSpPr txBox="1"/>
                      </a:nvSpPr>
                      <a:spPr>
                        <a:xfrm>
                          <a:off x="1600200" y="1600200"/>
                          <a:ext cx="762000"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dirty="0" smtClean="0"/>
                              <a:t>Outlet</a:t>
                            </a:r>
                            <a:endParaRPr lang="en-US" sz="1200" dirty="0"/>
                          </a:p>
                        </a:txBody>
                        <a:useSpRect/>
                      </a:txSp>
                    </a:sp>
                    <a:sp>
                      <a:nvSpPr>
                        <a:cNvPr id="39" name="TextBox 38"/>
                        <a:cNvSpPr txBox="1"/>
                      </a:nvSpPr>
                      <a:spPr>
                        <a:xfrm>
                          <a:off x="2438400" y="1219200"/>
                          <a:ext cx="609600" cy="276999"/>
                        </a:xfrm>
                        <a:prstGeom prst="rect">
                          <a:avLst/>
                        </a:prstGeom>
                        <a:noFill/>
                      </a:spPr>
                      <a:txSp>
                        <a:txBody>
                          <a:bodyPr wrap="squar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r>
                              <a:rPr lang="en-US" sz="1200" dirty="0" smtClean="0"/>
                              <a:t>Inlet</a:t>
                            </a:r>
                            <a:endParaRPr lang="en-US" sz="1200" dirty="0"/>
                          </a:p>
                        </a:txBody>
                        <a:useSpRect/>
                      </a:txSp>
                    </a:sp>
                  </a:grpSp>
                </lc:lockedCanvas>
              </a:graphicData>
            </a:graphic>
          </wp:inline>
        </w:drawing>
      </w:r>
    </w:p>
    <w:p w:rsidR="003E70B5" w:rsidRDefault="00FB2907">
      <w:pPr>
        <w:pStyle w:val="Heading9"/>
      </w:pPr>
      <w:r>
        <w:t xml:space="preserve">Figure </w:t>
      </w:r>
      <w:r w:rsidR="00B85D08">
        <w:fldChar w:fldCharType="begin"/>
      </w:r>
      <w:r>
        <w:instrText xml:space="preserve"> SEQ Figure \* ARABIC </w:instrText>
      </w:r>
      <w:r w:rsidR="00B85D08">
        <w:fldChar w:fldCharType="separate"/>
      </w:r>
      <w:r w:rsidR="00022DCA">
        <w:rPr>
          <w:noProof/>
        </w:rPr>
        <w:t>6</w:t>
      </w:r>
      <w:r w:rsidR="00B85D08">
        <w:fldChar w:fldCharType="end"/>
      </w:r>
      <w:r>
        <w:t>: Schematic of the constant mix system currently set up in the AguaClara lab</w:t>
      </w:r>
    </w:p>
    <w:p w:rsidR="00B84FE2" w:rsidRDefault="00B84FE2">
      <w:pPr>
        <w:spacing w:line="480" w:lineRule="auto"/>
        <w:rPr>
          <w:rFonts w:eastAsia="Cambria"/>
        </w:rPr>
      </w:pPr>
    </w:p>
    <w:p w:rsidR="00000000" w:rsidRDefault="00B85D08">
      <w:pPr>
        <w:spacing w:line="480" w:lineRule="auto"/>
        <w:ind w:firstLine="720"/>
      </w:pPr>
      <w:r w:rsidRPr="00B85D08">
        <w:rPr>
          <w:rFonts w:eastAsia="Cambria"/>
        </w:rPr>
        <w:t>Incremental addition</w:t>
      </w:r>
      <w:r w:rsidR="00B84FE2">
        <w:rPr>
          <w:rFonts w:eastAsia="Cambria"/>
        </w:rPr>
        <w:t>s</w:t>
      </w:r>
      <w:r w:rsidRPr="00B85D08">
        <w:rPr>
          <w:rFonts w:eastAsia="Cambria"/>
        </w:rPr>
        <w:t xml:space="preserve"> from a stock solution of constantly</w:t>
      </w:r>
      <w:r w:rsidR="00B84FE2">
        <w:rPr>
          <w:rFonts w:eastAsia="Cambria"/>
        </w:rPr>
        <w:t>-</w:t>
      </w:r>
      <w:r w:rsidRPr="00B85D08">
        <w:rPr>
          <w:rFonts w:eastAsia="Cambria"/>
        </w:rPr>
        <w:t xml:space="preserve">mixed clay and water </w:t>
      </w:r>
      <w:r w:rsidR="00B84FE2">
        <w:rPr>
          <w:rFonts w:eastAsia="Cambria"/>
        </w:rPr>
        <w:t>were</w:t>
      </w:r>
      <w:r w:rsidRPr="00B85D08">
        <w:rPr>
          <w:rFonts w:eastAsia="Cambria"/>
        </w:rPr>
        <w:t xml:space="preserve"> </w:t>
      </w:r>
      <w:r w:rsidR="00B84FE2">
        <w:rPr>
          <w:rFonts w:eastAsia="Cambria"/>
        </w:rPr>
        <w:t>used</w:t>
      </w:r>
      <w:r w:rsidRPr="00B85D08">
        <w:rPr>
          <w:rFonts w:eastAsia="Cambria"/>
        </w:rPr>
        <w:t xml:space="preserve"> to </w:t>
      </w:r>
      <w:r w:rsidR="00B84FE2">
        <w:rPr>
          <w:rFonts w:eastAsia="Cambria"/>
        </w:rPr>
        <w:t xml:space="preserve">steadily </w:t>
      </w:r>
      <w:r w:rsidRPr="00B85D08">
        <w:rPr>
          <w:rFonts w:eastAsia="Cambria"/>
        </w:rPr>
        <w:t xml:space="preserve">increase the turbidity in the system. The pump </w:t>
      </w:r>
      <w:r w:rsidR="00B84FE2">
        <w:rPr>
          <w:rFonts w:eastAsia="Cambria"/>
        </w:rPr>
        <w:t>was</w:t>
      </w:r>
      <w:r w:rsidRPr="00B85D08">
        <w:rPr>
          <w:rFonts w:eastAsia="Cambria"/>
        </w:rPr>
        <w:t xml:space="preserve"> turned off to take a depth reading, and then turned back on for addition and mixing of another clay </w:t>
      </w:r>
      <w:r w:rsidRPr="00B85D08">
        <w:rPr>
          <w:rFonts w:eastAsia="Cambria"/>
        </w:rPr>
        <w:lastRenderedPageBreak/>
        <w:t>increment. Th</w:t>
      </w:r>
      <w:r w:rsidR="00B84FE2">
        <w:rPr>
          <w:rFonts w:eastAsia="Cambria"/>
        </w:rPr>
        <w:t xml:space="preserve">e </w:t>
      </w:r>
      <w:r w:rsidRPr="00B85D08">
        <w:rPr>
          <w:rFonts w:eastAsia="Cambria"/>
        </w:rPr>
        <w:t xml:space="preserve">fine-print “AguaClara” design </w:t>
      </w:r>
      <w:r w:rsidR="00B84FE2">
        <w:rPr>
          <w:rFonts w:eastAsia="Cambria"/>
        </w:rPr>
        <w:t>was used to measure increasing</w:t>
      </w:r>
      <w:r w:rsidRPr="00B85D08">
        <w:rPr>
          <w:rFonts w:eastAsia="Cambria"/>
        </w:rPr>
        <w:t xml:space="preserve"> turbidity </w:t>
      </w:r>
      <w:r w:rsidR="00B84FE2">
        <w:rPr>
          <w:rFonts w:eastAsia="Cambria"/>
        </w:rPr>
        <w:t>starting from</w:t>
      </w:r>
      <w:r w:rsidRPr="00B85D08">
        <w:rPr>
          <w:rFonts w:eastAsia="Cambria"/>
        </w:rPr>
        <w:t xml:space="preserve"> 3 NTU. When water </w:t>
      </w:r>
      <w:r w:rsidR="00B84FE2">
        <w:rPr>
          <w:rFonts w:eastAsia="Cambria"/>
        </w:rPr>
        <w:t>wa</w:t>
      </w:r>
      <w:r w:rsidRPr="00B85D08">
        <w:rPr>
          <w:rFonts w:eastAsia="Cambria"/>
        </w:rPr>
        <w:t xml:space="preserve">s turbid enough to use the black line design, depth measurements </w:t>
      </w:r>
      <w:r w:rsidR="00B84FE2">
        <w:rPr>
          <w:rFonts w:eastAsia="Cambria"/>
        </w:rPr>
        <w:t>we</w:t>
      </w:r>
      <w:r w:rsidRPr="00B85D08">
        <w:rPr>
          <w:rFonts w:eastAsia="Cambria"/>
        </w:rPr>
        <w:t>re taken with both patterns for comparison (Table 6).</w:t>
      </w:r>
    </w:p>
    <w:p w:rsidR="00000000" w:rsidRDefault="002D4929">
      <w:pPr>
        <w:pStyle w:val="figure"/>
      </w:pPr>
      <w:r>
        <w:rPr>
          <w:noProof/>
        </w:rPr>
        <w:drawing>
          <wp:inline distT="0" distB="0" distL="0" distR="0">
            <wp:extent cx="2951033" cy="2555482"/>
            <wp:effectExtent l="19050" t="0" r="1717" b="0"/>
            <wp:docPr id="13" name="Picture 4" descr="C:\Users\Julia\Downloads\photo (4).JPG"/>
            <wp:cNvGraphicFramePr/>
            <a:graphic xmlns:a="http://schemas.openxmlformats.org/drawingml/2006/main">
              <a:graphicData uri="http://schemas.openxmlformats.org/drawingml/2006/picture">
                <pic:pic xmlns:pic="http://schemas.openxmlformats.org/drawingml/2006/picture">
                  <pic:nvPicPr>
                    <pic:cNvPr id="1026" name="Picture 2" descr="C:\Users\Julia\Downloads\photo (4).JPG"/>
                    <pic:cNvPicPr>
                      <a:picLocks noChangeAspect="1" noChangeArrowheads="1"/>
                    </pic:cNvPicPr>
                  </pic:nvPicPr>
                  <pic:blipFill>
                    <a:blip r:embed="rId17" cstate="print"/>
                    <a:srcRect/>
                    <a:stretch>
                      <a:fillRect/>
                    </a:stretch>
                  </pic:blipFill>
                  <pic:spPr bwMode="auto">
                    <a:xfrm>
                      <a:off x="0" y="0"/>
                      <a:ext cx="2952663" cy="2556893"/>
                    </a:xfrm>
                    <a:prstGeom prst="rect">
                      <a:avLst/>
                    </a:prstGeom>
                    <a:noFill/>
                  </pic:spPr>
                </pic:pic>
              </a:graphicData>
            </a:graphic>
          </wp:inline>
        </w:drawing>
      </w:r>
      <w:r>
        <w:rPr>
          <w:noProof/>
        </w:rPr>
        <w:drawing>
          <wp:inline distT="0" distB="0" distL="0" distR="0">
            <wp:extent cx="1883891" cy="2560554"/>
            <wp:effectExtent l="19050" t="0" r="2059" b="0"/>
            <wp:docPr id="15" name="Picture 5" descr="C:\Users\Julia\Downloads\photo (5).JPG"/>
            <wp:cNvGraphicFramePr/>
            <a:graphic xmlns:a="http://schemas.openxmlformats.org/drawingml/2006/main">
              <a:graphicData uri="http://schemas.openxmlformats.org/drawingml/2006/picture">
                <pic:pic xmlns:pic="http://schemas.openxmlformats.org/drawingml/2006/picture">
                  <pic:nvPicPr>
                    <pic:cNvPr id="1027" name="Picture 3" descr="C:\Users\Julia\Downloads\photo (5).JPG"/>
                    <pic:cNvPicPr>
                      <a:picLocks noChangeAspect="1" noChangeArrowheads="1"/>
                    </pic:cNvPicPr>
                  </pic:nvPicPr>
                  <pic:blipFill>
                    <a:blip r:embed="rId18" cstate="print"/>
                    <a:srcRect/>
                    <a:stretch>
                      <a:fillRect/>
                    </a:stretch>
                  </pic:blipFill>
                  <pic:spPr bwMode="auto">
                    <a:xfrm>
                      <a:off x="0" y="0"/>
                      <a:ext cx="1881486" cy="2557285"/>
                    </a:xfrm>
                    <a:prstGeom prst="rect">
                      <a:avLst/>
                    </a:prstGeom>
                    <a:noFill/>
                  </pic:spPr>
                </pic:pic>
              </a:graphicData>
            </a:graphic>
          </wp:inline>
        </w:drawing>
      </w:r>
    </w:p>
    <w:p w:rsidR="003E70B5" w:rsidRDefault="00FB2907">
      <w:pPr>
        <w:pStyle w:val="Heading9"/>
      </w:pPr>
      <w:r>
        <w:t xml:space="preserve">Figure </w:t>
      </w:r>
      <w:r w:rsidR="00B85D08">
        <w:fldChar w:fldCharType="begin"/>
      </w:r>
      <w:r>
        <w:instrText xml:space="preserve"> SEQ Figure \* ARABIC </w:instrText>
      </w:r>
      <w:r w:rsidR="00B85D08">
        <w:fldChar w:fldCharType="separate"/>
      </w:r>
      <w:r w:rsidR="00022DCA">
        <w:rPr>
          <w:noProof/>
        </w:rPr>
        <w:t>7</w:t>
      </w:r>
      <w:r w:rsidR="00B85D08">
        <w:fldChar w:fldCharType="end"/>
      </w:r>
      <w:r>
        <w:t>: Pictures of the constant mix system currently set up in the AguaClara lab</w:t>
      </w:r>
    </w:p>
    <w:p w:rsidR="008E55D6" w:rsidRDefault="008E55D6">
      <w:pPr>
        <w:pStyle w:val="Heading2"/>
        <w:rPr>
          <w:b/>
          <w:i/>
        </w:rPr>
      </w:pPr>
    </w:p>
    <w:p w:rsidR="00D6643E" w:rsidRDefault="00F10866">
      <w:pPr>
        <w:pStyle w:val="Heading2"/>
      </w:pPr>
      <w:r>
        <w:rPr>
          <w:b/>
          <w:i/>
        </w:rPr>
        <w:t>Results and Discussion</w:t>
      </w:r>
    </w:p>
    <w:p w:rsidR="009A0739" w:rsidRDefault="009A0739" w:rsidP="009A0739">
      <w:pPr>
        <w:pStyle w:val="Heading6"/>
        <w:rPr>
          <w:rStyle w:val="SubtleEmphasis"/>
          <w:b w:val="0"/>
          <w:iCs w:val="0"/>
          <w:sz w:val="28"/>
          <w:szCs w:val="28"/>
        </w:rPr>
      </w:pPr>
      <w:r>
        <w:rPr>
          <w:rStyle w:val="SubtleEmphasis"/>
          <w:color w:val="auto"/>
          <w:sz w:val="24"/>
          <w:szCs w:val="24"/>
        </w:rPr>
        <w:t xml:space="preserve">Experimental Methods using a Portable </w:t>
      </w:r>
      <w:proofErr w:type="spellStart"/>
      <w:r>
        <w:rPr>
          <w:rStyle w:val="SubtleEmphasis"/>
          <w:color w:val="auto"/>
          <w:sz w:val="24"/>
          <w:szCs w:val="24"/>
        </w:rPr>
        <w:t>Turbidimeter</w:t>
      </w:r>
      <w:proofErr w:type="spellEnd"/>
    </w:p>
    <w:p w:rsidR="00000000" w:rsidRDefault="00FC5285">
      <w:pPr>
        <w:pStyle w:val="Heading6"/>
      </w:pPr>
    </w:p>
    <w:p w:rsidR="00CE57D9" w:rsidRDefault="00345D3A">
      <w:pPr>
        <w:pStyle w:val="indent"/>
      </w:pPr>
      <w:r>
        <w:t>The clay concentration and corresponding depth r</w:t>
      </w:r>
      <w:r w:rsidR="00191C1A">
        <w:t xml:space="preserve">esults for the </w:t>
      </w:r>
      <w:r w:rsidR="00F10866">
        <w:t xml:space="preserve">set of samples </w:t>
      </w:r>
      <w:r>
        <w:t>at</w:t>
      </w:r>
      <w:r w:rsidR="00F10866">
        <w:t xml:space="preserve"> increasing turbidities</w:t>
      </w:r>
      <w:r w:rsidR="00191C1A">
        <w:t xml:space="preserve"> </w:t>
      </w:r>
      <w:r w:rsidR="00F10866">
        <w:t xml:space="preserve">are </w:t>
      </w:r>
      <w:r w:rsidR="00191C1A">
        <w:t xml:space="preserve">provided </w:t>
      </w:r>
      <w:r w:rsidR="00F10866">
        <w:t>in Table 1</w:t>
      </w:r>
      <w:r>
        <w:t xml:space="preserve"> &amp; Table 2.  The first experiment (Table 1) used two batteries to power the LED light, while the second experiment (Table 2) used only one battery. LED batteries are easily removed by twisting </w:t>
      </w:r>
      <w:r w:rsidR="00E7059C">
        <w:t xml:space="preserve">off </w:t>
      </w:r>
      <w:r>
        <w:t>the bottom part of the LE</w:t>
      </w:r>
      <w:r w:rsidR="00E7059C">
        <w:t>D,</w:t>
      </w:r>
      <w:r>
        <w:t xml:space="preserve"> removing one battery, and replacing the bottom of the LED</w:t>
      </w:r>
      <w:r w:rsidR="009A0739">
        <w:t>.</w:t>
      </w:r>
    </w:p>
    <w:p w:rsidR="00000000" w:rsidRDefault="00FC5285">
      <w:pPr>
        <w:pStyle w:val="indent"/>
      </w:pPr>
    </w:p>
    <w:p w:rsidR="00000000" w:rsidRDefault="00DD48A8">
      <w:pPr>
        <w:pStyle w:val="Heading8"/>
        <w:jc w:val="center"/>
      </w:pPr>
      <w:proofErr w:type="gramStart"/>
      <w:r w:rsidRPr="002566C2">
        <w:rPr>
          <w:rStyle w:val="CommentReference"/>
          <w:sz w:val="24"/>
          <w:szCs w:val="24"/>
        </w:rPr>
        <w:lastRenderedPageBreak/>
        <w:t>T</w:t>
      </w:r>
      <w:r>
        <w:t>able 1.</w:t>
      </w:r>
      <w:proofErr w:type="gramEnd"/>
      <w:r>
        <w:t xml:space="preserve"> </w:t>
      </w:r>
      <w:r w:rsidRPr="002566C2">
        <w:t>Experiment 1-</w:t>
      </w:r>
      <w:r>
        <w:t xml:space="preserve"> Two batteries</w:t>
      </w:r>
      <w:r w:rsidR="00B85D08" w:rsidRPr="00B85D08">
        <w:fldChar w:fldCharType="begin"/>
      </w:r>
      <w:r w:rsidR="001634CA">
        <w:instrText xml:space="preserve"> LINK Excel.Sheet.8 "Workbook1" "Sheet1!R3C3:R14C4" \a \f 4 \h </w:instrText>
      </w:r>
      <w:r w:rsidR="00B85D08" w:rsidRPr="00B85D08">
        <w:fldChar w:fldCharType="separate"/>
      </w:r>
    </w:p>
    <w:tbl>
      <w:tblPr>
        <w:tblW w:w="4437" w:type="dxa"/>
        <w:jc w:val="center"/>
        <w:tblInd w:w="93" w:type="dxa"/>
        <w:tblCellMar>
          <w:left w:w="115" w:type="dxa"/>
          <w:right w:w="115" w:type="dxa"/>
        </w:tblCellMar>
        <w:tblLook w:val="0620"/>
      </w:tblPr>
      <w:tblGrid>
        <w:gridCol w:w="2265"/>
        <w:gridCol w:w="2172"/>
      </w:tblGrid>
      <w:tr w:rsidR="001634CA">
        <w:trPr>
          <w:trHeight w:val="270"/>
          <w:jc w:val="center"/>
        </w:trPr>
        <w:tc>
          <w:tcPr>
            <w:tcW w:w="2265" w:type="dxa"/>
            <w:tcBorders>
              <w:top w:val="single" w:sz="8" w:space="0" w:color="auto"/>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b/>
                <w:bCs/>
                <w:color w:val="000000"/>
              </w:rPr>
            </w:pPr>
            <w:r w:rsidRPr="00D92D5E">
              <w:rPr>
                <w:b/>
                <w:bCs/>
                <w:color w:val="000000"/>
              </w:rPr>
              <w:t>Clay Concentration</w:t>
            </w:r>
          </w:p>
        </w:tc>
        <w:tc>
          <w:tcPr>
            <w:tcW w:w="2172" w:type="dxa"/>
            <w:tcBorders>
              <w:top w:val="single" w:sz="8" w:space="0" w:color="auto"/>
              <w:left w:val="nil"/>
              <w:bottom w:val="single" w:sz="4" w:space="0" w:color="auto"/>
              <w:right w:val="single" w:sz="8" w:space="0" w:color="auto"/>
            </w:tcBorders>
            <w:shd w:val="clear" w:color="auto" w:fill="auto"/>
            <w:noWrap/>
            <w:vAlign w:val="bottom"/>
          </w:tcPr>
          <w:p w:rsidR="001634CA" w:rsidRPr="00D92D5E" w:rsidRDefault="001634CA">
            <w:pPr>
              <w:jc w:val="center"/>
              <w:rPr>
                <w:b/>
                <w:bCs/>
                <w:color w:val="000000"/>
              </w:rPr>
            </w:pPr>
            <w:r w:rsidRPr="00D92D5E">
              <w:rPr>
                <w:b/>
                <w:bCs/>
                <w:color w:val="000000"/>
              </w:rPr>
              <w:t>LED Depth</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(mg/L)</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 xml:space="preserve"> (cm)</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35.29</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92.00</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47.06</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70.00</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58.82</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49.00</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70.59</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35.00</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82.35</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28.00</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94.12</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24.00</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105.88</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20.00</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117.65</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16.00</w:t>
            </w:r>
          </w:p>
        </w:tc>
      </w:tr>
      <w:tr w:rsidR="001634CA">
        <w:trPr>
          <w:trHeight w:val="270"/>
          <w:jc w:val="center"/>
        </w:trPr>
        <w:tc>
          <w:tcPr>
            <w:tcW w:w="2265" w:type="dxa"/>
            <w:tcBorders>
              <w:top w:val="nil"/>
              <w:left w:val="single" w:sz="8"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129.41</w:t>
            </w:r>
          </w:p>
        </w:tc>
        <w:tc>
          <w:tcPr>
            <w:tcW w:w="2172" w:type="dxa"/>
            <w:tcBorders>
              <w:top w:val="nil"/>
              <w:left w:val="nil"/>
              <w:bottom w:val="single" w:sz="4"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14.00</w:t>
            </w:r>
          </w:p>
        </w:tc>
      </w:tr>
      <w:tr w:rsidR="001634CA">
        <w:trPr>
          <w:trHeight w:val="289"/>
          <w:jc w:val="center"/>
        </w:trPr>
        <w:tc>
          <w:tcPr>
            <w:tcW w:w="2265" w:type="dxa"/>
            <w:tcBorders>
              <w:top w:val="nil"/>
              <w:left w:val="single" w:sz="8" w:space="0" w:color="auto"/>
              <w:bottom w:val="single" w:sz="8"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141.18</w:t>
            </w:r>
          </w:p>
        </w:tc>
        <w:tc>
          <w:tcPr>
            <w:tcW w:w="2172" w:type="dxa"/>
            <w:tcBorders>
              <w:top w:val="nil"/>
              <w:left w:val="nil"/>
              <w:bottom w:val="single" w:sz="8" w:space="0" w:color="auto"/>
              <w:right w:val="single" w:sz="8" w:space="0" w:color="auto"/>
            </w:tcBorders>
            <w:shd w:val="clear" w:color="auto" w:fill="auto"/>
            <w:noWrap/>
            <w:vAlign w:val="bottom"/>
          </w:tcPr>
          <w:p w:rsidR="001634CA" w:rsidRPr="00D92D5E" w:rsidRDefault="001634CA">
            <w:pPr>
              <w:jc w:val="center"/>
              <w:rPr>
                <w:color w:val="000000"/>
              </w:rPr>
            </w:pPr>
            <w:r w:rsidRPr="00D92D5E">
              <w:rPr>
                <w:color w:val="000000"/>
              </w:rPr>
              <w:t>11.00</w:t>
            </w:r>
          </w:p>
        </w:tc>
      </w:tr>
    </w:tbl>
    <w:p w:rsidR="00DE3460" w:rsidRPr="00AC09C0" w:rsidRDefault="00B85D08" w:rsidP="00DE3460">
      <w:pPr>
        <w:pStyle w:val="Body"/>
        <w:spacing w:line="240" w:lineRule="auto"/>
        <w:ind w:firstLine="720"/>
        <w:rPr>
          <w:rFonts w:ascii="Times New Roman" w:hAnsi="Times New Roman"/>
          <w:szCs w:val="24"/>
        </w:rPr>
      </w:pPr>
      <w:r>
        <w:rPr>
          <w:rFonts w:ascii="Times New Roman" w:hAnsi="Times New Roman"/>
          <w:szCs w:val="24"/>
        </w:rPr>
        <w:fldChar w:fldCharType="end"/>
      </w:r>
    </w:p>
    <w:p w:rsidR="00345D3A" w:rsidRDefault="00345D3A" w:rsidP="001634CA">
      <w:pPr>
        <w:pStyle w:val="indent"/>
        <w:spacing w:line="240" w:lineRule="auto"/>
        <w:ind w:firstLine="0"/>
        <w:rPr>
          <w:szCs w:val="24"/>
        </w:rPr>
      </w:pPr>
    </w:p>
    <w:p w:rsidR="005E30BD" w:rsidRDefault="00345D3A" w:rsidP="005E30BD">
      <w:pPr>
        <w:pStyle w:val="Body"/>
        <w:spacing w:line="240" w:lineRule="auto"/>
        <w:rPr>
          <w:rFonts w:ascii="Times New Roman" w:eastAsia="Times New Roman" w:hAnsi="Times New Roman"/>
          <w:color w:val="auto"/>
          <w:szCs w:val="20"/>
          <w:lang w:bidi="en-US"/>
        </w:rPr>
      </w:pPr>
      <w:r>
        <w:rPr>
          <w:szCs w:val="24"/>
        </w:rPr>
        <w:t xml:space="preserve">Note: </w:t>
      </w:r>
      <w:r w:rsidR="00F10866" w:rsidRPr="002566C2">
        <w:rPr>
          <w:szCs w:val="24"/>
        </w:rPr>
        <w:t>The actual NTU corresponding to these concentrations still needs to be determined.</w:t>
      </w:r>
    </w:p>
    <w:p w:rsidR="002D4929" w:rsidRPr="00CE57D9" w:rsidRDefault="00DD48A8" w:rsidP="00CE57D9">
      <w:pPr>
        <w:pStyle w:val="Body"/>
        <w:spacing w:line="240" w:lineRule="auto"/>
        <w:jc w:val="center"/>
        <w:rPr>
          <w:rFonts w:ascii="Times New Roman" w:hAnsi="Times New Roman"/>
          <w:szCs w:val="24"/>
        </w:rPr>
      </w:pPr>
      <w:r w:rsidRPr="002566C2">
        <w:rPr>
          <w:rFonts w:ascii="Times New Roman" w:hAnsi="Times New Roman"/>
          <w:szCs w:val="24"/>
        </w:rPr>
        <w:t>TABLE 2: Experiment 2</w:t>
      </w:r>
      <w:r>
        <w:rPr>
          <w:rFonts w:ascii="Times New Roman" w:hAnsi="Times New Roman"/>
          <w:szCs w:val="24"/>
        </w:rPr>
        <w:t xml:space="preserve"> - One battery</w:t>
      </w:r>
      <w:r w:rsidR="00B85D08">
        <w:rPr>
          <w:rFonts w:ascii="Times New Roman" w:hAnsi="Times New Roman"/>
          <w:szCs w:val="24"/>
        </w:rPr>
        <w:fldChar w:fldCharType="begin"/>
      </w:r>
      <w:r w:rsidR="001634CA">
        <w:rPr>
          <w:rFonts w:ascii="Times New Roman" w:hAnsi="Times New Roman"/>
          <w:szCs w:val="24"/>
        </w:rPr>
        <w:instrText xml:space="preserve"> LINK Excel.Sheet.8 "Workbook1" "Sheet1!R17C3:R29C4" \a \f 4 \h </w:instrText>
      </w:r>
      <w:r w:rsidR="00B85D08">
        <w:rPr>
          <w:rFonts w:ascii="Times New Roman" w:hAnsi="Times New Roman"/>
          <w:szCs w:val="24"/>
        </w:rPr>
        <w:fldChar w:fldCharType="separate"/>
      </w:r>
    </w:p>
    <w:tbl>
      <w:tblPr>
        <w:tblW w:w="4335" w:type="dxa"/>
        <w:jc w:val="center"/>
        <w:tblInd w:w="93" w:type="dxa"/>
        <w:tblLayout w:type="fixed"/>
        <w:tblLook w:val="04A0"/>
      </w:tblPr>
      <w:tblGrid>
        <w:gridCol w:w="2265"/>
        <w:gridCol w:w="2070"/>
      </w:tblGrid>
      <w:tr w:rsidR="001634CA">
        <w:trPr>
          <w:trHeight w:val="300"/>
          <w:jc w:val="center"/>
        </w:trPr>
        <w:tc>
          <w:tcPr>
            <w:tcW w:w="226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b/>
                <w:bCs/>
                <w:color w:val="000000"/>
              </w:rPr>
            </w:pPr>
            <w:r w:rsidRPr="00D92D5E">
              <w:rPr>
                <w:b/>
                <w:bCs/>
                <w:color w:val="000000"/>
              </w:rPr>
              <w:t>Clay Concentration</w:t>
            </w:r>
          </w:p>
        </w:tc>
        <w:tc>
          <w:tcPr>
            <w:tcW w:w="2070" w:type="dxa"/>
            <w:tcBorders>
              <w:top w:val="single" w:sz="4" w:space="0" w:color="auto"/>
              <w:left w:val="nil"/>
              <w:bottom w:val="single" w:sz="4" w:space="0" w:color="auto"/>
              <w:right w:val="single" w:sz="4" w:space="0" w:color="auto"/>
            </w:tcBorders>
            <w:shd w:val="clear" w:color="auto" w:fill="auto"/>
            <w:noWrap/>
            <w:vAlign w:val="bottom"/>
          </w:tcPr>
          <w:p w:rsidR="001634CA" w:rsidRPr="00D92D5E" w:rsidRDefault="001634CA">
            <w:pPr>
              <w:jc w:val="center"/>
              <w:rPr>
                <w:b/>
                <w:bCs/>
                <w:color w:val="000000"/>
              </w:rPr>
            </w:pPr>
            <w:r w:rsidRPr="00D92D5E">
              <w:rPr>
                <w:b/>
                <w:bCs/>
                <w:color w:val="000000"/>
              </w:rPr>
              <w:t>LED Depth</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(mg/L)</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 xml:space="preserve"> (cm)</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19.61</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91.00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39.22</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63.00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58.82</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42.00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78.43</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33.00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98.04</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24.00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117.65</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18.00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137.25</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16.00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156.86</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13.00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176.47</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11.00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196.08</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6.00</w:t>
            </w:r>
          </w:p>
        </w:tc>
      </w:tr>
      <w:tr w:rsidR="001634CA">
        <w:trPr>
          <w:trHeight w:val="300"/>
          <w:jc w:val="center"/>
        </w:trPr>
        <w:tc>
          <w:tcPr>
            <w:tcW w:w="2265" w:type="dxa"/>
            <w:tcBorders>
              <w:top w:val="nil"/>
              <w:left w:val="single" w:sz="4" w:space="0" w:color="auto"/>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215.69</w:t>
            </w:r>
          </w:p>
        </w:tc>
        <w:tc>
          <w:tcPr>
            <w:tcW w:w="2070" w:type="dxa"/>
            <w:tcBorders>
              <w:top w:val="nil"/>
              <w:left w:val="nil"/>
              <w:bottom w:val="single" w:sz="4" w:space="0" w:color="auto"/>
              <w:right w:val="single" w:sz="4" w:space="0" w:color="auto"/>
            </w:tcBorders>
            <w:shd w:val="clear" w:color="auto" w:fill="auto"/>
            <w:noWrap/>
            <w:vAlign w:val="bottom"/>
          </w:tcPr>
          <w:p w:rsidR="001634CA" w:rsidRPr="00D92D5E" w:rsidRDefault="001634CA">
            <w:pPr>
              <w:jc w:val="center"/>
              <w:rPr>
                <w:color w:val="000000"/>
              </w:rPr>
            </w:pPr>
            <w:r w:rsidRPr="00D92D5E">
              <w:rPr>
                <w:color w:val="000000"/>
              </w:rPr>
              <w:t>5.00</w:t>
            </w:r>
          </w:p>
        </w:tc>
      </w:tr>
    </w:tbl>
    <w:p w:rsidR="00F10866" w:rsidRPr="002566C2" w:rsidRDefault="00B85D08" w:rsidP="00F10866">
      <w:pPr>
        <w:pStyle w:val="Body"/>
        <w:spacing w:line="240" w:lineRule="auto"/>
        <w:rPr>
          <w:rFonts w:ascii="Times New Roman" w:hAnsi="Times New Roman"/>
          <w:szCs w:val="24"/>
        </w:rPr>
      </w:pPr>
      <w:r>
        <w:rPr>
          <w:rFonts w:ascii="Times New Roman" w:hAnsi="Times New Roman"/>
          <w:szCs w:val="24"/>
        </w:rPr>
        <w:lastRenderedPageBreak/>
        <w:fldChar w:fldCharType="end"/>
      </w:r>
    </w:p>
    <w:p w:rsidR="00000000" w:rsidRDefault="00F10866">
      <w:pPr>
        <w:pStyle w:val="indent"/>
      </w:pPr>
      <w:r>
        <w:t xml:space="preserve">The graph of LED </w:t>
      </w:r>
      <w:r w:rsidR="00345D3A">
        <w:t>d</w:t>
      </w:r>
      <w:r>
        <w:t xml:space="preserve">epth vs. </w:t>
      </w:r>
      <w:r w:rsidR="00345D3A">
        <w:t>c</w:t>
      </w:r>
      <w:r>
        <w:t xml:space="preserve">lay </w:t>
      </w:r>
      <w:r w:rsidR="00345D3A">
        <w:t>c</w:t>
      </w:r>
      <w:r>
        <w:t xml:space="preserve">oncentration is shown in Figure </w:t>
      </w:r>
      <w:r w:rsidR="00BE7D00">
        <w:t>8</w:t>
      </w:r>
      <w:r>
        <w:t xml:space="preserve">. </w:t>
      </w:r>
      <w:r w:rsidR="00494701">
        <w:t>At the</w:t>
      </w:r>
      <w:r w:rsidR="001D46E1">
        <w:t xml:space="preserve"> time</w:t>
      </w:r>
      <w:r w:rsidR="00494701">
        <w:t xml:space="preserve"> these experiments were performed</w:t>
      </w:r>
      <w:r w:rsidR="001D46E1">
        <w:t>, a properly</w:t>
      </w:r>
      <w:r w:rsidR="00E7059C">
        <w:t>-</w:t>
      </w:r>
      <w:r w:rsidR="009A0739">
        <w:t xml:space="preserve">calibrated </w:t>
      </w:r>
      <w:r w:rsidR="001D46E1">
        <w:t xml:space="preserve">portable </w:t>
      </w:r>
      <w:proofErr w:type="spellStart"/>
      <w:r w:rsidR="001D46E1">
        <w:t>turbidimeter</w:t>
      </w:r>
      <w:proofErr w:type="spellEnd"/>
      <w:r w:rsidR="001D46E1">
        <w:t xml:space="preserve"> was unavailable to the Turbidity Team. </w:t>
      </w:r>
      <w:proofErr w:type="gramStart"/>
      <w:r w:rsidR="00345D3A">
        <w:t xml:space="preserve">In </w:t>
      </w:r>
      <w:r w:rsidR="001D46E1">
        <w:t xml:space="preserve">future experiments when a calibrated portable </w:t>
      </w:r>
      <w:proofErr w:type="spellStart"/>
      <w:r w:rsidR="001D46E1">
        <w:t>nephelometer</w:t>
      </w:r>
      <w:proofErr w:type="spellEnd"/>
      <w:r w:rsidR="001D46E1">
        <w:t xml:space="preserve"> is available, </w:t>
      </w:r>
      <w:r w:rsidR="00345D3A">
        <w:t>t</w:t>
      </w:r>
      <w:r>
        <w:t>he actual turbidity of the water corresponding to these clay concentrations will be measured and</w:t>
      </w:r>
      <w:r w:rsidR="001D46E1">
        <w:t xml:space="preserve"> </w:t>
      </w:r>
      <w:r>
        <w:t xml:space="preserve">used to </w:t>
      </w:r>
      <w:r w:rsidR="001D46E1">
        <w:t xml:space="preserve">generate a </w:t>
      </w:r>
      <w:r>
        <w:t xml:space="preserve">plot of LED </w:t>
      </w:r>
      <w:r w:rsidR="00E7059C">
        <w:t>D</w:t>
      </w:r>
      <w:r>
        <w:t xml:space="preserve">epth </w:t>
      </w:r>
      <w:r w:rsidR="00E7059C">
        <w:t xml:space="preserve">(cm) </w:t>
      </w:r>
      <w:r>
        <w:t xml:space="preserve">vs. </w:t>
      </w:r>
      <w:r w:rsidR="00E7059C">
        <w:t>T</w:t>
      </w:r>
      <w:r>
        <w:t>urbidity</w:t>
      </w:r>
      <w:r w:rsidR="00E7059C">
        <w:t xml:space="preserve"> (</w:t>
      </w:r>
      <w:r>
        <w:t>NTU</w:t>
      </w:r>
      <w:r w:rsidR="00E7059C">
        <w:t>).</w:t>
      </w:r>
      <w:proofErr w:type="gramEnd"/>
      <w:r w:rsidR="00E7059C">
        <w:t xml:space="preserve"> </w:t>
      </w:r>
      <w:r>
        <w:t xml:space="preserve">These preliminary graphs </w:t>
      </w:r>
      <w:r w:rsidR="0029012F">
        <w:t xml:space="preserve">were </w:t>
      </w:r>
      <w:r>
        <w:t xml:space="preserve">based on the general rule </w:t>
      </w:r>
      <w:proofErr w:type="gramStart"/>
      <w:r>
        <w:t xml:space="preserve">of </w:t>
      </w:r>
      <w:r w:rsidR="001634CA">
        <w:t xml:space="preserve"> </w:t>
      </w:r>
      <w:r>
        <w:t>thumb</w:t>
      </w:r>
      <w:proofErr w:type="gramEnd"/>
      <w:r>
        <w:t xml:space="preserve"> that 1 mg kaolin clay/ L of water is approximately equal to 1 NTU.</w:t>
      </w:r>
      <w:r w:rsidR="001D46E1">
        <w:t xml:space="preserve"> In later experiments</w:t>
      </w:r>
      <w:r w:rsidR="00E7059C">
        <w:t>,</w:t>
      </w:r>
      <w:r w:rsidR="001D46E1">
        <w:t xml:space="preserve"> the Turbidity Team tested this assumption of 1 NTU for 1 mg/L clay to validate the above experimental results. Data and results for this test are provided in a later part of the Results and Discussion section of this report. </w:t>
      </w:r>
    </w:p>
    <w:p w:rsidR="00D6643E" w:rsidRDefault="00D6643E" w:rsidP="00CE57D9">
      <w:pPr>
        <w:pStyle w:val="Body"/>
        <w:spacing w:line="480" w:lineRule="auto"/>
        <w:rPr>
          <w:rFonts w:ascii="Times New Roman" w:hAnsi="Times New Roman"/>
          <w:szCs w:val="24"/>
        </w:rPr>
      </w:pPr>
    </w:p>
    <w:p w:rsidR="00000000" w:rsidRDefault="00AA761B">
      <w:pPr>
        <w:pStyle w:val="figure"/>
      </w:pPr>
      <w:r>
        <w:rPr>
          <w:noProof/>
        </w:rPr>
        <w:lastRenderedPageBreak/>
        <w:drawing>
          <wp:inline distT="0" distB="0" distL="0" distR="0">
            <wp:extent cx="5168900" cy="3651250"/>
            <wp:effectExtent l="19050" t="0" r="12700" b="6350"/>
            <wp:docPr id="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E70B5" w:rsidRDefault="007E0D61">
      <w:pPr>
        <w:pStyle w:val="Heading9"/>
      </w:pPr>
      <w:r>
        <w:t xml:space="preserve">Figure </w:t>
      </w:r>
      <w:r w:rsidR="00B85D08">
        <w:fldChar w:fldCharType="begin"/>
      </w:r>
      <w:r>
        <w:instrText xml:space="preserve"> SEQ Figure \* ARABIC </w:instrText>
      </w:r>
      <w:r w:rsidR="00B85D08">
        <w:fldChar w:fldCharType="separate"/>
      </w:r>
      <w:r w:rsidR="00022DCA">
        <w:rPr>
          <w:noProof/>
        </w:rPr>
        <w:t>8</w:t>
      </w:r>
      <w:r w:rsidR="00B85D08">
        <w:fldChar w:fldCharType="end"/>
      </w:r>
      <w:r>
        <w:t xml:space="preserve">: </w:t>
      </w:r>
      <w:r w:rsidRPr="00141374">
        <w:t>The plot of the data in Tables 1 and 2 demonstrates whether one batter or two batteries is more accurate. The fitted line assumes a power law relationship between depth and concentration. Experiment 1 with two batteries in the LED gave the best R² valu</w:t>
      </w:r>
      <w:r>
        <w:t>e.</w:t>
      </w:r>
    </w:p>
    <w:p w:rsidR="007E0D61" w:rsidRDefault="009839F6">
      <w:pPr>
        <w:pStyle w:val="Body"/>
        <w:spacing w:line="480" w:lineRule="auto"/>
        <w:rPr>
          <w:rFonts w:ascii="Times New Roman" w:hAnsi="Times New Roman"/>
          <w:szCs w:val="24"/>
        </w:rPr>
      </w:pPr>
      <w:r>
        <w:rPr>
          <w:rFonts w:ascii="Times New Roman" w:hAnsi="Times New Roman"/>
          <w:szCs w:val="24"/>
        </w:rPr>
        <w:tab/>
      </w:r>
    </w:p>
    <w:p w:rsidR="002D4929" w:rsidRDefault="009839F6">
      <w:pPr>
        <w:pStyle w:val="Body"/>
        <w:spacing w:line="480" w:lineRule="auto"/>
        <w:ind w:firstLine="720"/>
        <w:rPr>
          <w:rFonts w:ascii="Times New Roman" w:hAnsi="Times New Roman"/>
          <w:szCs w:val="24"/>
        </w:rPr>
      </w:pPr>
      <w:r>
        <w:rPr>
          <w:rFonts w:ascii="Times New Roman" w:hAnsi="Times New Roman"/>
          <w:szCs w:val="24"/>
        </w:rPr>
        <w:t>As displayed in the above figure, the R</w:t>
      </w:r>
      <w:r w:rsidR="008F3662" w:rsidRPr="008F3662">
        <w:rPr>
          <w:rFonts w:ascii="Times New Roman" w:hAnsi="Times New Roman"/>
          <w:szCs w:val="24"/>
          <w:vertAlign w:val="superscript"/>
        </w:rPr>
        <w:t>2</w:t>
      </w:r>
      <w:r>
        <w:rPr>
          <w:rFonts w:ascii="Times New Roman" w:hAnsi="Times New Roman"/>
          <w:szCs w:val="24"/>
          <w:vertAlign w:val="superscript"/>
        </w:rPr>
        <w:t xml:space="preserve"> </w:t>
      </w:r>
      <w:r>
        <w:rPr>
          <w:rFonts w:ascii="Times New Roman" w:hAnsi="Times New Roman"/>
          <w:szCs w:val="24"/>
        </w:rPr>
        <w:t>value of 0.99 for the LED design with two batteries vs. the R</w:t>
      </w:r>
      <w:r w:rsidRPr="0018600A">
        <w:rPr>
          <w:rFonts w:ascii="Times New Roman" w:hAnsi="Times New Roman"/>
          <w:szCs w:val="24"/>
          <w:vertAlign w:val="superscript"/>
        </w:rPr>
        <w:t>2</w:t>
      </w:r>
      <w:r>
        <w:rPr>
          <w:rFonts w:ascii="Times New Roman" w:hAnsi="Times New Roman"/>
          <w:szCs w:val="24"/>
          <w:vertAlign w:val="superscript"/>
        </w:rPr>
        <w:t xml:space="preserve"> </w:t>
      </w:r>
      <w:r>
        <w:rPr>
          <w:rFonts w:ascii="Times New Roman" w:hAnsi="Times New Roman"/>
          <w:szCs w:val="24"/>
        </w:rPr>
        <w:t>value of 0.</w:t>
      </w:r>
      <w:r w:rsidR="0049796A">
        <w:rPr>
          <w:rFonts w:ascii="Times New Roman" w:hAnsi="Times New Roman"/>
          <w:szCs w:val="24"/>
        </w:rPr>
        <w:t xml:space="preserve">92 </w:t>
      </w:r>
      <w:r>
        <w:rPr>
          <w:rFonts w:ascii="Times New Roman" w:hAnsi="Times New Roman"/>
          <w:szCs w:val="24"/>
        </w:rPr>
        <w:t xml:space="preserve">for the LED design with </w:t>
      </w:r>
      <w:r w:rsidR="00035FBE">
        <w:rPr>
          <w:rFonts w:ascii="Times New Roman" w:hAnsi="Times New Roman"/>
          <w:szCs w:val="24"/>
        </w:rPr>
        <w:t xml:space="preserve">one battery demonstrates that two batteries have </w:t>
      </w:r>
      <w:r>
        <w:rPr>
          <w:rFonts w:ascii="Times New Roman" w:hAnsi="Times New Roman"/>
          <w:szCs w:val="24"/>
        </w:rPr>
        <w:t>much more successful</w:t>
      </w:r>
      <w:r w:rsidR="00035FBE">
        <w:rPr>
          <w:rFonts w:ascii="Times New Roman" w:hAnsi="Times New Roman"/>
          <w:szCs w:val="24"/>
        </w:rPr>
        <w:t xml:space="preserve"> and reliable results in regard to fitting a “turbidity predicting” equation. </w:t>
      </w:r>
    </w:p>
    <w:p w:rsidR="00000000" w:rsidRDefault="00CA4DD1">
      <w:pPr>
        <w:pStyle w:val="indent"/>
      </w:pPr>
      <w:r>
        <w:t xml:space="preserve">Using what we </w:t>
      </w:r>
      <w:r w:rsidR="007A4543">
        <w:t xml:space="preserve">learned </w:t>
      </w:r>
      <w:r>
        <w:t>from the first two experiments, the next experiment tested the thin black stripe design with two batteries. Additionally, the</w:t>
      </w:r>
      <w:r w:rsidR="00F10866">
        <w:t xml:space="preserve"> portable </w:t>
      </w:r>
      <w:proofErr w:type="spellStart"/>
      <w:r w:rsidR="00F10866">
        <w:t>nephelometer</w:t>
      </w:r>
      <w:proofErr w:type="spellEnd"/>
      <w:r w:rsidR="00F10866">
        <w:t xml:space="preserve"> was </w:t>
      </w:r>
      <w:r>
        <w:t>available and the Team used it to make</w:t>
      </w:r>
      <w:r w:rsidR="00F10866">
        <w:t xml:space="preserve"> measure</w:t>
      </w:r>
      <w:r>
        <w:t>ments of</w:t>
      </w:r>
      <w:r w:rsidR="00F10866">
        <w:t xml:space="preserve"> the turbidity associated with each clay concentration. </w:t>
      </w:r>
      <w:r>
        <w:t xml:space="preserve">A power-law assumption was made and a line was fit through </w:t>
      </w:r>
      <w:r>
        <w:lastRenderedPageBreak/>
        <w:t>the data in Figure 3, generating an equation relating turbidity to depth for that specific prototype design. The results are display</w:t>
      </w:r>
      <w:r w:rsidR="00211D37">
        <w:t xml:space="preserve">ed below in Table 3 and Figure </w:t>
      </w:r>
      <w:r w:rsidR="00BE7D00">
        <w:t>9</w:t>
      </w:r>
      <w:r>
        <w:t>.</w:t>
      </w:r>
    </w:p>
    <w:p w:rsidR="00DD48A8" w:rsidRDefault="00DD48A8" w:rsidP="00DD48A8">
      <w:pPr>
        <w:pStyle w:val="Body"/>
        <w:spacing w:line="240" w:lineRule="auto"/>
        <w:rPr>
          <w:rFonts w:ascii="Times New Roman" w:hAnsi="Times New Roman"/>
          <w:szCs w:val="24"/>
        </w:rPr>
      </w:pPr>
    </w:p>
    <w:p w:rsidR="002D4929" w:rsidRPr="00702A59" w:rsidRDefault="00DD48A8" w:rsidP="00702A59">
      <w:pPr>
        <w:pStyle w:val="Heading8"/>
        <w:rPr>
          <w:rFonts w:ascii="Arial" w:hAnsi="Arial"/>
          <w:sz w:val="20"/>
        </w:rPr>
      </w:pPr>
      <w:r w:rsidRPr="00702A59">
        <w:t>TABLE 3:</w:t>
      </w:r>
      <w:r w:rsidR="00702A59">
        <w:tab/>
      </w:r>
      <w:r w:rsidRPr="00702A59">
        <w:t xml:space="preserve">Experiment 3 data obtained using an LED powered with two batteries and </w:t>
      </w:r>
      <w:r w:rsidR="00C7759F">
        <w:t xml:space="preserve">using a </w:t>
      </w:r>
      <w:r w:rsidRPr="00702A59">
        <w:t>thin black stripe</w:t>
      </w:r>
      <w:r w:rsidR="00C7759F">
        <w:t xml:space="preserve"> design</w:t>
      </w:r>
      <w:r w:rsidRPr="00702A59">
        <w:t xml:space="preserve">. The </w:t>
      </w:r>
      <w:r w:rsidR="00702A59">
        <w:t>turbidity</w:t>
      </w:r>
      <w:r w:rsidR="00702A59" w:rsidRPr="00702A59">
        <w:t xml:space="preserve"> </w:t>
      </w:r>
      <w:r w:rsidRPr="00702A59">
        <w:t>for each sample was obtained</w:t>
      </w:r>
      <w:r w:rsidR="00702A59">
        <w:t xml:space="preserve"> from the portable </w:t>
      </w:r>
      <w:proofErr w:type="spellStart"/>
      <w:r w:rsidR="00702A59">
        <w:t>turbidimeter</w:t>
      </w:r>
      <w:proofErr w:type="spellEnd"/>
      <w:r w:rsidRPr="00702A59">
        <w:t xml:space="preserve"> as LED depth measurements were taken</w:t>
      </w:r>
      <w:r>
        <w:t>.</w:t>
      </w:r>
      <w:r w:rsidR="00B85D08" w:rsidRPr="00B85D08">
        <w:fldChar w:fldCharType="begin"/>
      </w:r>
      <w:r w:rsidR="00D92D5E">
        <w:instrText xml:space="preserve"> LINK Excel.Sheet.8 "Workbook1" "Sheet1!R4C6:R13C8" \a \f 4 \h </w:instrText>
      </w:r>
      <w:r w:rsidR="00B85D08" w:rsidRPr="00B85D08">
        <w:fldChar w:fldCharType="separate"/>
      </w:r>
    </w:p>
    <w:tbl>
      <w:tblPr>
        <w:tblW w:w="6060" w:type="dxa"/>
        <w:jc w:val="center"/>
        <w:tblInd w:w="93" w:type="dxa"/>
        <w:tblLook w:val="04A0"/>
      </w:tblPr>
      <w:tblGrid>
        <w:gridCol w:w="2300"/>
        <w:gridCol w:w="1760"/>
        <w:gridCol w:w="2000"/>
      </w:tblGrid>
      <w:tr w:rsidR="00D92D5E">
        <w:trPr>
          <w:trHeight w:val="300"/>
          <w:jc w:val="center"/>
        </w:trPr>
        <w:tc>
          <w:tcPr>
            <w:tcW w:w="23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rPr>
                <w:b/>
                <w:bCs/>
              </w:rPr>
            </w:pPr>
            <w:r w:rsidRPr="00D92D5E">
              <w:rPr>
                <w:b/>
                <w:bCs/>
              </w:rPr>
              <w:t>Clay Concentration</w:t>
            </w:r>
          </w:p>
        </w:tc>
        <w:tc>
          <w:tcPr>
            <w:tcW w:w="1760" w:type="dxa"/>
            <w:tcBorders>
              <w:top w:val="single" w:sz="4" w:space="0" w:color="auto"/>
              <w:left w:val="nil"/>
              <w:bottom w:val="single" w:sz="4" w:space="0" w:color="auto"/>
              <w:right w:val="single" w:sz="4" w:space="0" w:color="auto"/>
            </w:tcBorders>
            <w:shd w:val="clear" w:color="auto" w:fill="auto"/>
            <w:noWrap/>
            <w:vAlign w:val="bottom"/>
          </w:tcPr>
          <w:p w:rsidR="00D6643E" w:rsidRDefault="00D92D5E">
            <w:pPr>
              <w:spacing w:line="480" w:lineRule="auto"/>
              <w:jc w:val="center"/>
              <w:rPr>
                <w:b/>
                <w:bCs/>
                <w:color w:val="000000"/>
              </w:rPr>
            </w:pPr>
            <w:r w:rsidRPr="00D92D5E">
              <w:rPr>
                <w:b/>
                <w:bCs/>
                <w:color w:val="000000"/>
              </w:rPr>
              <w:t>LED Depth</w:t>
            </w:r>
          </w:p>
        </w:tc>
        <w:tc>
          <w:tcPr>
            <w:tcW w:w="2000" w:type="dxa"/>
            <w:tcBorders>
              <w:top w:val="single" w:sz="4" w:space="0" w:color="auto"/>
              <w:left w:val="nil"/>
              <w:bottom w:val="single" w:sz="4" w:space="0" w:color="auto"/>
              <w:right w:val="single" w:sz="4" w:space="0" w:color="auto"/>
            </w:tcBorders>
            <w:shd w:val="clear" w:color="auto" w:fill="auto"/>
            <w:noWrap/>
            <w:vAlign w:val="bottom"/>
          </w:tcPr>
          <w:p w:rsidR="00D6643E" w:rsidRDefault="00D92D5E">
            <w:pPr>
              <w:spacing w:line="480" w:lineRule="auto"/>
              <w:jc w:val="center"/>
              <w:rPr>
                <w:b/>
                <w:bCs/>
                <w:color w:val="000000"/>
              </w:rPr>
            </w:pPr>
            <w:r w:rsidRPr="00D92D5E">
              <w:rPr>
                <w:b/>
                <w:bCs/>
                <w:color w:val="000000"/>
              </w:rPr>
              <w:t>Turbidity</w:t>
            </w:r>
          </w:p>
        </w:tc>
      </w:tr>
      <w:tr w:rsidR="00D92D5E">
        <w:trPr>
          <w:trHeight w:val="300"/>
          <w:jc w:val="center"/>
        </w:trPr>
        <w:tc>
          <w:tcPr>
            <w:tcW w:w="2300" w:type="dxa"/>
            <w:tcBorders>
              <w:top w:val="nil"/>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pPr>
            <w:r w:rsidRPr="00D92D5E">
              <w:t>(mg/L)</w:t>
            </w:r>
          </w:p>
        </w:tc>
        <w:tc>
          <w:tcPr>
            <w:tcW w:w="176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pPr>
            <w:r w:rsidRPr="00D92D5E">
              <w:t>(cm)</w:t>
            </w:r>
          </w:p>
        </w:tc>
        <w:tc>
          <w:tcPr>
            <w:tcW w:w="200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pPr>
            <w:r w:rsidRPr="00D92D5E">
              <w:t>(NTU)</w:t>
            </w:r>
          </w:p>
        </w:tc>
      </w:tr>
      <w:tr w:rsidR="00D92D5E">
        <w:trPr>
          <w:trHeight w:val="300"/>
          <w:jc w:val="center"/>
        </w:trPr>
        <w:tc>
          <w:tcPr>
            <w:tcW w:w="2300" w:type="dxa"/>
            <w:tcBorders>
              <w:top w:val="nil"/>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20</w:t>
            </w:r>
          </w:p>
        </w:tc>
        <w:tc>
          <w:tcPr>
            <w:tcW w:w="176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91</w:t>
            </w:r>
          </w:p>
        </w:tc>
        <w:tc>
          <w:tcPr>
            <w:tcW w:w="200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8.09</w:t>
            </w:r>
          </w:p>
        </w:tc>
      </w:tr>
      <w:tr w:rsidR="00D92D5E">
        <w:trPr>
          <w:trHeight w:val="300"/>
          <w:jc w:val="center"/>
        </w:trPr>
        <w:tc>
          <w:tcPr>
            <w:tcW w:w="2300" w:type="dxa"/>
            <w:tcBorders>
              <w:top w:val="nil"/>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40</w:t>
            </w:r>
          </w:p>
        </w:tc>
        <w:tc>
          <w:tcPr>
            <w:tcW w:w="176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49</w:t>
            </w:r>
          </w:p>
        </w:tc>
        <w:tc>
          <w:tcPr>
            <w:tcW w:w="200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25.02</w:t>
            </w:r>
          </w:p>
        </w:tc>
      </w:tr>
      <w:tr w:rsidR="00D92D5E">
        <w:trPr>
          <w:trHeight w:val="300"/>
          <w:jc w:val="center"/>
        </w:trPr>
        <w:tc>
          <w:tcPr>
            <w:tcW w:w="2300" w:type="dxa"/>
            <w:tcBorders>
              <w:top w:val="nil"/>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60</w:t>
            </w:r>
          </w:p>
        </w:tc>
        <w:tc>
          <w:tcPr>
            <w:tcW w:w="176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32</w:t>
            </w:r>
          </w:p>
        </w:tc>
        <w:tc>
          <w:tcPr>
            <w:tcW w:w="200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30.47</w:t>
            </w:r>
          </w:p>
        </w:tc>
      </w:tr>
      <w:tr w:rsidR="00D92D5E">
        <w:trPr>
          <w:trHeight w:val="300"/>
          <w:jc w:val="center"/>
        </w:trPr>
        <w:tc>
          <w:tcPr>
            <w:tcW w:w="2300" w:type="dxa"/>
            <w:tcBorders>
              <w:top w:val="nil"/>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80</w:t>
            </w:r>
          </w:p>
        </w:tc>
        <w:tc>
          <w:tcPr>
            <w:tcW w:w="176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23</w:t>
            </w:r>
          </w:p>
        </w:tc>
        <w:tc>
          <w:tcPr>
            <w:tcW w:w="200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44.71</w:t>
            </w:r>
          </w:p>
        </w:tc>
      </w:tr>
      <w:tr w:rsidR="00D92D5E">
        <w:trPr>
          <w:trHeight w:val="300"/>
          <w:jc w:val="center"/>
        </w:trPr>
        <w:tc>
          <w:tcPr>
            <w:tcW w:w="2300" w:type="dxa"/>
            <w:tcBorders>
              <w:top w:val="nil"/>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100</w:t>
            </w:r>
          </w:p>
        </w:tc>
        <w:tc>
          <w:tcPr>
            <w:tcW w:w="176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18</w:t>
            </w:r>
          </w:p>
        </w:tc>
        <w:tc>
          <w:tcPr>
            <w:tcW w:w="200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53.8</w:t>
            </w:r>
          </w:p>
        </w:tc>
      </w:tr>
      <w:tr w:rsidR="00D92D5E">
        <w:trPr>
          <w:trHeight w:val="300"/>
          <w:jc w:val="center"/>
        </w:trPr>
        <w:tc>
          <w:tcPr>
            <w:tcW w:w="2300" w:type="dxa"/>
            <w:tcBorders>
              <w:top w:val="nil"/>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120</w:t>
            </w:r>
          </w:p>
        </w:tc>
        <w:tc>
          <w:tcPr>
            <w:tcW w:w="176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14</w:t>
            </w:r>
          </w:p>
        </w:tc>
        <w:tc>
          <w:tcPr>
            <w:tcW w:w="200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58.76</w:t>
            </w:r>
          </w:p>
        </w:tc>
      </w:tr>
      <w:tr w:rsidR="00D92D5E">
        <w:trPr>
          <w:trHeight w:val="300"/>
          <w:jc w:val="center"/>
        </w:trPr>
        <w:tc>
          <w:tcPr>
            <w:tcW w:w="2300" w:type="dxa"/>
            <w:tcBorders>
              <w:top w:val="nil"/>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140</w:t>
            </w:r>
          </w:p>
        </w:tc>
        <w:tc>
          <w:tcPr>
            <w:tcW w:w="176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10</w:t>
            </w:r>
          </w:p>
        </w:tc>
        <w:tc>
          <w:tcPr>
            <w:tcW w:w="200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84</w:t>
            </w:r>
          </w:p>
        </w:tc>
      </w:tr>
      <w:tr w:rsidR="00D92D5E">
        <w:trPr>
          <w:trHeight w:val="300"/>
          <w:jc w:val="center"/>
        </w:trPr>
        <w:tc>
          <w:tcPr>
            <w:tcW w:w="2300" w:type="dxa"/>
            <w:tcBorders>
              <w:top w:val="nil"/>
              <w:left w:val="single" w:sz="4" w:space="0" w:color="auto"/>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160</w:t>
            </w:r>
          </w:p>
        </w:tc>
        <w:tc>
          <w:tcPr>
            <w:tcW w:w="176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8</w:t>
            </w:r>
          </w:p>
        </w:tc>
        <w:tc>
          <w:tcPr>
            <w:tcW w:w="2000" w:type="dxa"/>
            <w:tcBorders>
              <w:top w:val="nil"/>
              <w:left w:val="nil"/>
              <w:bottom w:val="single" w:sz="4" w:space="0" w:color="auto"/>
              <w:right w:val="single" w:sz="4" w:space="0" w:color="auto"/>
            </w:tcBorders>
            <w:shd w:val="clear" w:color="auto" w:fill="auto"/>
            <w:noWrap/>
            <w:vAlign w:val="bottom"/>
          </w:tcPr>
          <w:p w:rsidR="00D6643E" w:rsidRDefault="00D92D5E">
            <w:pPr>
              <w:spacing w:line="480" w:lineRule="auto"/>
              <w:jc w:val="center"/>
              <w:rPr>
                <w:color w:val="000000"/>
              </w:rPr>
            </w:pPr>
            <w:r w:rsidRPr="00D92D5E">
              <w:rPr>
                <w:color w:val="000000"/>
              </w:rPr>
              <w:t>106.8</w:t>
            </w:r>
          </w:p>
        </w:tc>
      </w:tr>
    </w:tbl>
    <w:p w:rsidR="00DE3460" w:rsidRDefault="00B85D08" w:rsidP="00DE3460">
      <w:pPr>
        <w:pStyle w:val="Body"/>
        <w:spacing w:line="240" w:lineRule="auto"/>
        <w:rPr>
          <w:rFonts w:ascii="Times New Roman" w:hAnsi="Times New Roman"/>
          <w:szCs w:val="24"/>
        </w:rPr>
      </w:pPr>
      <w:r>
        <w:rPr>
          <w:rFonts w:ascii="Times New Roman" w:hAnsi="Times New Roman"/>
          <w:szCs w:val="24"/>
        </w:rPr>
        <w:fldChar w:fldCharType="end"/>
      </w:r>
    </w:p>
    <w:p w:rsidR="00211D37" w:rsidRDefault="00211D37" w:rsidP="00DE3460">
      <w:pPr>
        <w:pStyle w:val="Body"/>
        <w:spacing w:line="240" w:lineRule="auto"/>
        <w:rPr>
          <w:rFonts w:ascii="Times New Roman" w:hAnsi="Times New Roman"/>
          <w:szCs w:val="24"/>
        </w:rPr>
      </w:pPr>
    </w:p>
    <w:p w:rsidR="002D4929" w:rsidRDefault="007E0D61" w:rsidP="00641E78">
      <w:pPr>
        <w:pStyle w:val="Graph"/>
      </w:pPr>
      <w:r w:rsidRPr="007E0D61">
        <w:rPr>
          <w:noProof/>
        </w:rPr>
        <w:lastRenderedPageBreak/>
        <w:drawing>
          <wp:inline distT="0" distB="0" distL="0" distR="0">
            <wp:extent cx="5245100" cy="3848100"/>
            <wp:effectExtent l="19050" t="0" r="12700" b="0"/>
            <wp:docPr id="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94701" w:rsidRDefault="007E0D61">
      <w:pPr>
        <w:pStyle w:val="Graph"/>
      </w:pPr>
      <w:r>
        <w:t xml:space="preserve">Figure </w:t>
      </w:r>
      <w:r w:rsidR="00B85D08">
        <w:fldChar w:fldCharType="begin"/>
      </w:r>
      <w:r w:rsidR="00222156">
        <w:instrText xml:space="preserve"> SEQ Figure \* ARABIC </w:instrText>
      </w:r>
      <w:r w:rsidR="00B85D08">
        <w:fldChar w:fldCharType="separate"/>
      </w:r>
      <w:r w:rsidR="00022DCA">
        <w:rPr>
          <w:noProof/>
        </w:rPr>
        <w:t>9</w:t>
      </w:r>
      <w:r w:rsidR="00B85D08">
        <w:rPr>
          <w:noProof/>
        </w:rPr>
        <w:fldChar w:fldCharType="end"/>
      </w:r>
      <w:r>
        <w:t xml:space="preserve">: </w:t>
      </w:r>
      <w:r w:rsidRPr="00F92A37">
        <w:t>Results for the calibration of the thin black stripe LED design, using two batteries to power the LED.</w:t>
      </w:r>
    </w:p>
    <w:p w:rsidR="00F10866" w:rsidRDefault="00CA4DD1" w:rsidP="00CA4DD1">
      <w:pPr>
        <w:pStyle w:val="Body"/>
        <w:spacing w:line="240" w:lineRule="auto"/>
        <w:jc w:val="center"/>
        <w:rPr>
          <w:rFonts w:ascii="Times New Roman" w:hAnsi="Times New Roman"/>
          <w:szCs w:val="24"/>
        </w:rPr>
      </w:pPr>
      <w:r w:rsidRPr="00CA4DD1" w:rsidDel="00CA4DD1">
        <w:rPr>
          <w:rFonts w:ascii="Times New Roman" w:hAnsi="Times New Roman"/>
          <w:szCs w:val="24"/>
        </w:rPr>
        <w:t xml:space="preserve"> </w:t>
      </w:r>
    </w:p>
    <w:p w:rsidR="00000000" w:rsidRDefault="00CA4DD1">
      <w:pPr>
        <w:pStyle w:val="indent"/>
      </w:pPr>
      <w:r>
        <w:t xml:space="preserve">The Turbidity Team attempted to evaluate the relationship between clay concentration and turbidity by plotting the two parameters and fitting a line to the data (Figure </w:t>
      </w:r>
      <w:r w:rsidR="00211D37">
        <w:t>8</w:t>
      </w:r>
      <w:r>
        <w:t xml:space="preserve">). This was of interest for our team because </w:t>
      </w:r>
      <w:r w:rsidR="00AC3A7A">
        <w:t xml:space="preserve">the portable </w:t>
      </w:r>
      <w:proofErr w:type="spellStart"/>
      <w:r w:rsidR="00AC3A7A">
        <w:t>turbidimeter</w:t>
      </w:r>
      <w:proofErr w:type="spellEnd"/>
      <w:r w:rsidR="00AC3A7A">
        <w:t xml:space="preserve"> was unavailable for a period of time and we wanted to evaluate if our first few sets of experimental data containing only clay concentrations and depths were viable.</w:t>
      </w:r>
    </w:p>
    <w:p w:rsidR="00BA65DA" w:rsidRDefault="00BA65DA" w:rsidP="00641E78">
      <w:pPr>
        <w:pStyle w:val="Graph"/>
      </w:pPr>
      <w:r w:rsidRPr="00BA65DA">
        <w:rPr>
          <w:noProof/>
        </w:rPr>
        <w:lastRenderedPageBreak/>
        <w:drawing>
          <wp:inline distT="0" distB="0" distL="0" distR="0">
            <wp:extent cx="5486400" cy="4109525"/>
            <wp:effectExtent l="19050" t="0" r="19050" b="5275"/>
            <wp:docPr id="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A65DA" w:rsidRDefault="00BA65DA">
      <w:pPr>
        <w:pStyle w:val="Graph"/>
      </w:pPr>
      <w:r>
        <w:t xml:space="preserve">Figure </w:t>
      </w:r>
      <w:r w:rsidR="00B85D08">
        <w:fldChar w:fldCharType="begin"/>
      </w:r>
      <w:r w:rsidR="00222156">
        <w:instrText xml:space="preserve"> SEQ Figure \* ARABIC </w:instrText>
      </w:r>
      <w:r w:rsidR="00B85D08">
        <w:fldChar w:fldCharType="separate"/>
      </w:r>
      <w:r w:rsidR="00022DCA">
        <w:rPr>
          <w:noProof/>
        </w:rPr>
        <w:t>10</w:t>
      </w:r>
      <w:r w:rsidR="00B85D08">
        <w:rPr>
          <w:noProof/>
        </w:rPr>
        <w:fldChar w:fldCharType="end"/>
      </w:r>
      <w:r>
        <w:t xml:space="preserve">: </w:t>
      </w:r>
      <w:r w:rsidRPr="009A1F95">
        <w:t xml:space="preserve">The plot of Turbidity vs. Concentration for the </w:t>
      </w:r>
      <w:proofErr w:type="spellStart"/>
      <w:r w:rsidRPr="009A1F95">
        <w:t>Secci</w:t>
      </w:r>
      <w:proofErr w:type="spellEnd"/>
      <w:r w:rsidRPr="009A1F95">
        <w:t xml:space="preserve"> disk design pattern and an LED light with one battery. A linear fit was used to generate the relationship between turbidity and kaolin clay concentration.</w:t>
      </w:r>
    </w:p>
    <w:p w:rsidR="00F10866" w:rsidRDefault="00586E32">
      <w:pPr>
        <w:pStyle w:val="Graph"/>
      </w:pPr>
      <w:r w:rsidRPr="00586E32" w:rsidDel="00586E32">
        <w:t xml:space="preserve"> </w:t>
      </w:r>
    </w:p>
    <w:p w:rsidR="00000000" w:rsidRDefault="00586E32">
      <w:pPr>
        <w:pStyle w:val="indent"/>
      </w:pPr>
      <w:r>
        <w:t xml:space="preserve">From the above figure, it can be estimated that 1 mg/L of </w:t>
      </w:r>
      <w:proofErr w:type="spellStart"/>
      <w:r>
        <w:t>Kaolinite</w:t>
      </w:r>
      <w:proofErr w:type="spellEnd"/>
      <w:r>
        <w:t xml:space="preserve"> clay in the sample is equivalent to 0.65 NTU, which is less than the “rule of thumb” that 1 NTU is roughly equivalent to 1 mg/L clay. Significant possible sources of error include insufficient mixing of the clay within the sample volume and imprecise clay weight measurements. The scale available to measure the clay additions was capable of making measurements of grams to two decimal places, while many times we need accuracy in mg (grams to </w:t>
      </w:r>
      <w:r>
        <w:lastRenderedPageBreak/>
        <w:t xml:space="preserve">three decimal places), creating a notable error source that was possibly compounded every incremental clay measurements.  </w:t>
      </w:r>
    </w:p>
    <w:p w:rsidR="00000000" w:rsidRDefault="00882490">
      <w:pPr>
        <w:pStyle w:val="Heading6"/>
        <w:spacing w:line="480" w:lineRule="auto"/>
      </w:pPr>
      <w:r>
        <w:rPr>
          <w:rStyle w:val="SubtleEmphasis"/>
          <w:color w:val="auto"/>
          <w:sz w:val="24"/>
          <w:szCs w:val="24"/>
        </w:rPr>
        <w:t xml:space="preserve">Experimental Methods for </w:t>
      </w:r>
      <w:r w:rsidRPr="008F3662">
        <w:rPr>
          <w:rStyle w:val="SubtleEmphasis"/>
          <w:color w:val="auto"/>
          <w:sz w:val="24"/>
          <w:szCs w:val="24"/>
        </w:rPr>
        <w:t>Dual-</w:t>
      </w:r>
      <w:r>
        <w:rPr>
          <w:rStyle w:val="SubtleEmphasis"/>
          <w:color w:val="auto"/>
          <w:sz w:val="24"/>
          <w:szCs w:val="24"/>
        </w:rPr>
        <w:t xml:space="preserve">range Scale using an Online </w:t>
      </w:r>
      <w:proofErr w:type="spellStart"/>
      <w:r>
        <w:rPr>
          <w:rStyle w:val="SubtleEmphasis"/>
          <w:color w:val="auto"/>
          <w:sz w:val="24"/>
          <w:szCs w:val="24"/>
        </w:rPr>
        <w:t>Turbidimeter</w:t>
      </w:r>
      <w:proofErr w:type="spellEnd"/>
    </w:p>
    <w:p w:rsidR="00000000" w:rsidRDefault="009E65AD">
      <w:pPr>
        <w:pStyle w:val="indent"/>
      </w:pPr>
      <w:r w:rsidRPr="00D05DBF">
        <w:t xml:space="preserve">The general steps in the first calibration experiment were again performed for the dual-range </w:t>
      </w:r>
      <w:proofErr w:type="spellStart"/>
      <w:r w:rsidRPr="00D05DBF">
        <w:t>turbidimeter</w:t>
      </w:r>
      <w:proofErr w:type="spellEnd"/>
      <w:r w:rsidRPr="00D05DBF">
        <w:t xml:space="preserve"> design and results used to generate the turbidity predicting equat</w:t>
      </w:r>
      <w:r w:rsidR="00211D37">
        <w:t xml:space="preserve">ion are included below (Figure </w:t>
      </w:r>
      <w:r w:rsidR="00BE7D00">
        <w:t>11</w:t>
      </w:r>
      <w:r w:rsidRPr="00D05DBF">
        <w:t>).</w:t>
      </w:r>
    </w:p>
    <w:p w:rsidR="00000000" w:rsidRDefault="00D6643E">
      <w:pPr>
        <w:pStyle w:val="Graph"/>
      </w:pPr>
      <w:r>
        <w:rPr>
          <w:noProof/>
        </w:rPr>
        <w:drawing>
          <wp:inline distT="0" distB="0" distL="0" distR="0">
            <wp:extent cx="4343400" cy="3236958"/>
            <wp:effectExtent l="0" t="0" r="0"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343425" cy="3236977"/>
                    </a:xfrm>
                    <a:prstGeom prst="rect">
                      <a:avLst/>
                    </a:prstGeom>
                    <a:noFill/>
                    <a:ln>
                      <a:noFill/>
                    </a:ln>
                  </pic:spPr>
                </pic:pic>
              </a:graphicData>
            </a:graphic>
          </wp:inline>
        </w:drawing>
      </w:r>
    </w:p>
    <w:p w:rsidR="006434C4" w:rsidRDefault="00BA65DA" w:rsidP="00641E78">
      <w:pPr>
        <w:pStyle w:val="Graph"/>
      </w:pPr>
      <w:r>
        <w:t xml:space="preserve">Figure </w:t>
      </w:r>
      <w:r w:rsidR="00B85D08">
        <w:fldChar w:fldCharType="begin"/>
      </w:r>
      <w:r w:rsidR="00222156">
        <w:instrText xml:space="preserve"> SEQ Figure \* ARABIC </w:instrText>
      </w:r>
      <w:r w:rsidR="00B85D08">
        <w:fldChar w:fldCharType="separate"/>
      </w:r>
      <w:r w:rsidR="00022DCA">
        <w:rPr>
          <w:noProof/>
        </w:rPr>
        <w:t>11</w:t>
      </w:r>
      <w:r w:rsidR="00B85D08">
        <w:rPr>
          <w:noProof/>
        </w:rPr>
        <w:fldChar w:fldCharType="end"/>
      </w:r>
      <w:r>
        <w:t xml:space="preserve">: </w:t>
      </w:r>
      <w:r w:rsidRPr="002F10AC">
        <w:t>Dual-range calibration experiment to generate turbidity-depth relationship and equation</w:t>
      </w:r>
    </w:p>
    <w:p w:rsidR="00D6643E" w:rsidRDefault="00D6643E">
      <w:pPr>
        <w:pStyle w:val="Body"/>
        <w:spacing w:line="240" w:lineRule="auto"/>
        <w:rPr>
          <w:rFonts w:ascii="Times New Roman" w:hAnsi="Times New Roman"/>
          <w:szCs w:val="24"/>
        </w:rPr>
      </w:pPr>
    </w:p>
    <w:p w:rsidR="00D6643E" w:rsidRDefault="009E65AD">
      <w:pPr>
        <w:pStyle w:val="Body"/>
        <w:spacing w:line="480" w:lineRule="auto"/>
        <w:rPr>
          <w:rFonts w:ascii="Times New Roman" w:hAnsi="Times New Roman"/>
          <w:szCs w:val="24"/>
        </w:rPr>
      </w:pPr>
      <w:r w:rsidRPr="00D05DBF">
        <w:rPr>
          <w:rFonts w:ascii="Times New Roman" w:hAnsi="Times New Roman"/>
          <w:szCs w:val="24"/>
        </w:rPr>
        <w:t>The generated equations from the above graph that relate turbidity to depth for the dual range system are provided again below:</w:t>
      </w:r>
    </w:p>
    <w:p w:rsidR="00D6643E" w:rsidRDefault="00702A59" w:rsidP="00BA65DA">
      <w:pPr>
        <w:pStyle w:val="Equation"/>
      </w:pPr>
      <w:r>
        <w:rPr>
          <w:rFonts w:eastAsia="ヒラギノ角ゴ Pro W3"/>
          <w:noProof w:val="0"/>
        </w:rPr>
        <w:tab/>
      </w:r>
      <m:oMath>
        <m:r>
          <m:rPr>
            <m:sty m:val="p"/>
          </m:rPr>
          <w:rPr>
            <w:rFonts w:ascii="Cambria Math" w:hAnsi="Cambria Math"/>
          </w:rPr>
          <m:t xml:space="preserve">Turbidity </m:t>
        </m:r>
        <m:d>
          <m:dPr>
            <m:ctrlPr>
              <w:rPr>
                <w:rFonts w:ascii="Cambria Math" w:hAnsi="Cambria Math"/>
              </w:rPr>
            </m:ctrlPr>
          </m:dPr>
          <m:e>
            <m:r>
              <m:rPr>
                <m:sty m:val="p"/>
              </m:rPr>
              <w:rPr>
                <w:rFonts w:ascii="Cambria Math" w:hAnsi="Cambria Math"/>
              </w:rPr>
              <m:t>NTU</m:t>
            </m:r>
          </m:e>
        </m:d>
        <m:r>
          <m:rPr>
            <m:sty m:val="p"/>
          </m:rPr>
          <w:rPr>
            <w:rFonts w:ascii="Cambria Math" w:hAnsi="Cambria Math"/>
          </w:rPr>
          <m:t xml:space="preserve">= 22626 × </m:t>
        </m:r>
        <m:sSup>
          <m:sSupPr>
            <m:ctrlPr>
              <w:rPr>
                <w:rFonts w:ascii="Cambria Math" w:hAnsi="Cambria Math"/>
              </w:rPr>
            </m:ctrlPr>
          </m:sSupPr>
          <m:e>
            <m:r>
              <m:rPr>
                <m:sty m:val="p"/>
              </m:rPr>
              <w:rPr>
                <w:rFonts w:ascii="Cambria Math" w:hAnsi="Cambria Math"/>
              </w:rPr>
              <m:t>Depth(cm)</m:t>
            </m:r>
          </m:e>
          <m:sup>
            <m:r>
              <m:rPr>
                <m:sty m:val="p"/>
              </m:rPr>
              <w:rPr>
                <w:rFonts w:ascii="Cambria Math" w:hAnsi="Cambria Math"/>
              </w:rPr>
              <m:t>-1.924</m:t>
            </m:r>
          </m:sup>
        </m:sSup>
      </m:oMath>
      <w:r>
        <w:t xml:space="preserve">     </w:t>
      </w:r>
      <w:r>
        <w:tab/>
      </w:r>
      <w:r w:rsidR="00BA65DA">
        <w:t>(2)</w:t>
      </w:r>
      <w:r w:rsidR="009E65AD" w:rsidRPr="00D05DBF">
        <w:tab/>
      </w:r>
      <w:r w:rsidR="009E65AD" w:rsidRPr="00D05DBF">
        <w:tab/>
        <w:t xml:space="preserve">          </w:t>
      </w:r>
    </w:p>
    <w:p w:rsidR="00BA65DA" w:rsidRDefault="00BA65DA" w:rsidP="00BA65DA">
      <w:pPr>
        <w:pStyle w:val="Equation"/>
      </w:pPr>
    </w:p>
    <w:p w:rsidR="00BA65DA" w:rsidRDefault="00702A59" w:rsidP="00BA65DA">
      <w:pPr>
        <w:pStyle w:val="Equation"/>
      </w:pPr>
      <w:r>
        <w:lastRenderedPageBreak/>
        <w:tab/>
      </w:r>
      <m:oMath>
        <m:r>
          <m:rPr>
            <m:sty m:val="p"/>
          </m:rPr>
          <w:rPr>
            <w:rFonts w:ascii="Cambria Math" w:hAnsi="Cambria Math"/>
          </w:rPr>
          <m:t xml:space="preserve">Turbidity </m:t>
        </m:r>
        <m:d>
          <m:dPr>
            <m:ctrlPr>
              <w:rPr>
                <w:rFonts w:ascii="Cambria Math" w:hAnsi="Cambria Math"/>
              </w:rPr>
            </m:ctrlPr>
          </m:dPr>
          <m:e>
            <m:r>
              <m:rPr>
                <m:sty m:val="p"/>
              </m:rPr>
              <w:rPr>
                <w:rFonts w:ascii="Cambria Math" w:hAnsi="Cambria Math"/>
              </w:rPr>
              <m:t>NTU</m:t>
            </m:r>
          </m:e>
        </m:d>
        <m:r>
          <m:rPr>
            <m:sty m:val="p"/>
          </m:rPr>
          <w:rPr>
            <w:rFonts w:ascii="Cambria Math" w:hAnsi="Cambria Math"/>
          </w:rPr>
          <m:t xml:space="preserve">= 710.64 × </m:t>
        </m:r>
        <m:sSup>
          <m:sSupPr>
            <m:ctrlPr>
              <w:rPr>
                <w:rFonts w:ascii="Cambria Math" w:hAnsi="Cambria Math"/>
              </w:rPr>
            </m:ctrlPr>
          </m:sSupPr>
          <m:e>
            <m:r>
              <m:rPr>
                <m:sty m:val="p"/>
              </m:rPr>
              <w:rPr>
                <w:rFonts w:ascii="Cambria Math" w:hAnsi="Cambria Math"/>
              </w:rPr>
              <m:t>Depth(cm)</m:t>
            </m:r>
          </m:e>
          <m:sup>
            <m:r>
              <m:rPr>
                <m:sty m:val="p"/>
              </m:rPr>
              <w:rPr>
                <w:rFonts w:ascii="Cambria Math" w:hAnsi="Cambria Math"/>
              </w:rPr>
              <m:t>(-0.893</m:t>
            </m:r>
          </m:sup>
        </m:sSup>
      </m:oMath>
      <w:r w:rsidR="00BA65DA">
        <w:t xml:space="preserve"> </w:t>
      </w:r>
      <w:r>
        <w:tab/>
      </w:r>
      <w:r w:rsidR="00BA65DA">
        <w:t>(3)</w:t>
      </w:r>
      <w:r w:rsidR="009E65AD" w:rsidRPr="00D05DBF">
        <w:tab/>
      </w:r>
      <w:r w:rsidR="009E65AD" w:rsidRPr="00D05DBF">
        <w:tab/>
        <w:t xml:space="preserve">   </w:t>
      </w:r>
    </w:p>
    <w:p w:rsidR="00D6643E" w:rsidRDefault="009E65AD" w:rsidP="00BA65DA">
      <w:pPr>
        <w:pStyle w:val="Equation"/>
      </w:pPr>
      <w:r w:rsidRPr="00D05DBF">
        <w:t xml:space="preserve">       </w:t>
      </w:r>
    </w:p>
    <w:p w:rsidR="00BA65DA" w:rsidRDefault="009E65AD" w:rsidP="00BA65DA">
      <w:pPr>
        <w:pStyle w:val="Body"/>
        <w:spacing w:line="480" w:lineRule="auto"/>
        <w:rPr>
          <w:rFonts w:ascii="Times New Roman" w:hAnsi="Times New Roman"/>
          <w:szCs w:val="24"/>
        </w:rPr>
      </w:pPr>
      <w:r>
        <w:rPr>
          <w:rFonts w:ascii="Times New Roman" w:hAnsi="Times New Roman"/>
          <w:szCs w:val="24"/>
        </w:rPr>
        <w:t xml:space="preserve">The Team then defined the “high range” as turbidity values greater than 100 NTU and the “low range” as turbidity values less than 100 NTU. Using this definition, Equation 2 and 3 were both used in their applicable ranges to analyze the turbidity error and test </w:t>
      </w:r>
      <w:r w:rsidRPr="00D05DBF">
        <w:rPr>
          <w:rFonts w:ascii="Times New Roman" w:hAnsi="Times New Roman"/>
          <w:szCs w:val="24"/>
        </w:rPr>
        <w:t xml:space="preserve">the accuracy of the calibration method. The data and results </w:t>
      </w:r>
      <w:r>
        <w:rPr>
          <w:rFonts w:ascii="Times New Roman" w:hAnsi="Times New Roman"/>
          <w:szCs w:val="24"/>
        </w:rPr>
        <w:t>for</w:t>
      </w:r>
      <w:r w:rsidRPr="00D05DBF">
        <w:rPr>
          <w:rFonts w:ascii="Times New Roman" w:hAnsi="Times New Roman"/>
          <w:szCs w:val="24"/>
        </w:rPr>
        <w:t xml:space="preserve"> this assessment </w:t>
      </w:r>
      <w:proofErr w:type="gramStart"/>
      <w:r w:rsidRPr="00D05DBF">
        <w:rPr>
          <w:rFonts w:ascii="Times New Roman" w:hAnsi="Times New Roman"/>
          <w:szCs w:val="24"/>
        </w:rPr>
        <w:t>is</w:t>
      </w:r>
      <w:proofErr w:type="gramEnd"/>
      <w:r w:rsidRPr="00D05DBF">
        <w:rPr>
          <w:rFonts w:ascii="Times New Roman" w:hAnsi="Times New Roman"/>
          <w:szCs w:val="24"/>
        </w:rPr>
        <w:t xml:space="preserve"> provided below (Table 5).</w:t>
      </w:r>
      <w:r w:rsidR="00BA65DA" w:rsidRPr="00BA65DA">
        <w:rPr>
          <w:rFonts w:ascii="Times New Roman" w:hAnsi="Times New Roman"/>
          <w:szCs w:val="24"/>
        </w:rPr>
        <w:t xml:space="preserve"> </w:t>
      </w:r>
    </w:p>
    <w:p w:rsidR="00000000" w:rsidRDefault="00BA65DA">
      <w:pPr>
        <w:pStyle w:val="Heading8"/>
      </w:pPr>
      <w:r w:rsidRPr="00D05DBF">
        <w:t xml:space="preserve">TABLE 5: </w:t>
      </w:r>
      <w:proofErr w:type="spellStart"/>
      <w:r w:rsidRPr="00D05DBF">
        <w:t>Turbidimeter</w:t>
      </w:r>
      <w:proofErr w:type="spellEnd"/>
      <w:r w:rsidRPr="00D05DBF">
        <w:t xml:space="preserve"> Accuracy Test Data</w:t>
      </w:r>
    </w:p>
    <w:tbl>
      <w:tblPr>
        <w:tblW w:w="8565" w:type="dxa"/>
        <w:jc w:val="center"/>
        <w:tblInd w:w="93" w:type="dxa"/>
        <w:tblLayout w:type="fixed"/>
        <w:tblLook w:val="04A0"/>
      </w:tblPr>
      <w:tblGrid>
        <w:gridCol w:w="2240"/>
        <w:gridCol w:w="1825"/>
        <w:gridCol w:w="1710"/>
        <w:gridCol w:w="1710"/>
        <w:gridCol w:w="1080"/>
      </w:tblGrid>
      <w:tr w:rsidR="00DE3460" w:rsidRPr="00DE3460">
        <w:trPr>
          <w:trHeight w:val="300"/>
          <w:jc w:val="center"/>
        </w:trPr>
        <w:tc>
          <w:tcPr>
            <w:tcW w:w="2240" w:type="dxa"/>
            <w:tcBorders>
              <w:top w:val="single" w:sz="8" w:space="0" w:color="auto"/>
              <w:left w:val="single" w:sz="4" w:space="0" w:color="auto"/>
              <w:bottom w:val="nil"/>
              <w:right w:val="single" w:sz="4" w:space="0" w:color="auto"/>
            </w:tcBorders>
            <w:shd w:val="clear" w:color="auto" w:fill="auto"/>
            <w:noWrap/>
            <w:vAlign w:val="bottom"/>
          </w:tcPr>
          <w:p w:rsidR="00DE3460" w:rsidRPr="00DE3460" w:rsidRDefault="00DE3460" w:rsidP="00DE3460">
            <w:pPr>
              <w:spacing w:before="0"/>
              <w:jc w:val="center"/>
              <w:rPr>
                <w:b/>
                <w:bCs/>
                <w:color w:val="000000"/>
                <w:lang w:bidi="ar-SA"/>
              </w:rPr>
            </w:pPr>
            <w:r w:rsidRPr="00DE3460">
              <w:rPr>
                <w:b/>
                <w:bCs/>
                <w:color w:val="000000"/>
                <w:lang w:bidi="ar-SA"/>
              </w:rPr>
              <w:t>Depth Measurement</w:t>
            </w:r>
          </w:p>
        </w:tc>
        <w:tc>
          <w:tcPr>
            <w:tcW w:w="1825" w:type="dxa"/>
            <w:tcBorders>
              <w:top w:val="single" w:sz="8" w:space="0" w:color="auto"/>
              <w:left w:val="nil"/>
              <w:bottom w:val="nil"/>
              <w:right w:val="nil"/>
            </w:tcBorders>
            <w:shd w:val="clear" w:color="auto" w:fill="auto"/>
            <w:noWrap/>
            <w:vAlign w:val="bottom"/>
          </w:tcPr>
          <w:p w:rsidR="00DE3460" w:rsidRPr="00DE3460" w:rsidRDefault="00DE3460" w:rsidP="00DE3460">
            <w:pPr>
              <w:spacing w:before="0"/>
              <w:jc w:val="center"/>
              <w:rPr>
                <w:b/>
                <w:bCs/>
                <w:color w:val="000000"/>
                <w:lang w:bidi="ar-SA"/>
              </w:rPr>
            </w:pPr>
            <w:r w:rsidRPr="00DE3460">
              <w:rPr>
                <w:b/>
                <w:bCs/>
                <w:color w:val="000000"/>
                <w:lang w:bidi="ar-SA"/>
              </w:rPr>
              <w:t>Depth Measurement</w:t>
            </w:r>
          </w:p>
        </w:tc>
        <w:tc>
          <w:tcPr>
            <w:tcW w:w="1710" w:type="dxa"/>
            <w:tcBorders>
              <w:top w:val="single" w:sz="8" w:space="0" w:color="auto"/>
              <w:left w:val="single" w:sz="4" w:space="0" w:color="auto"/>
              <w:bottom w:val="nil"/>
              <w:right w:val="single" w:sz="4" w:space="0" w:color="auto"/>
            </w:tcBorders>
            <w:shd w:val="clear" w:color="auto" w:fill="auto"/>
            <w:noWrap/>
            <w:vAlign w:val="bottom"/>
          </w:tcPr>
          <w:p w:rsidR="00DE3460" w:rsidRPr="00DE3460" w:rsidRDefault="00DE3460" w:rsidP="00DE3460">
            <w:pPr>
              <w:spacing w:before="0"/>
              <w:jc w:val="center"/>
              <w:rPr>
                <w:b/>
                <w:bCs/>
                <w:color w:val="000000"/>
                <w:lang w:bidi="ar-SA"/>
              </w:rPr>
            </w:pPr>
            <w:proofErr w:type="spellStart"/>
            <w:r w:rsidRPr="00DE3460">
              <w:rPr>
                <w:b/>
                <w:bCs/>
                <w:color w:val="000000"/>
                <w:lang w:bidi="ar-SA"/>
              </w:rPr>
              <w:t>Turbidimeter</w:t>
            </w:r>
            <w:proofErr w:type="spellEnd"/>
            <w:r w:rsidRPr="00DE3460">
              <w:rPr>
                <w:b/>
                <w:bCs/>
                <w:color w:val="000000"/>
                <w:lang w:bidi="ar-SA"/>
              </w:rPr>
              <w:t xml:space="preserve"> </w:t>
            </w:r>
          </w:p>
        </w:tc>
        <w:tc>
          <w:tcPr>
            <w:tcW w:w="1710" w:type="dxa"/>
            <w:tcBorders>
              <w:top w:val="single" w:sz="8" w:space="0" w:color="auto"/>
              <w:left w:val="nil"/>
              <w:bottom w:val="nil"/>
              <w:right w:val="single" w:sz="4" w:space="0" w:color="auto"/>
            </w:tcBorders>
            <w:shd w:val="clear" w:color="auto" w:fill="auto"/>
            <w:noWrap/>
            <w:vAlign w:val="bottom"/>
          </w:tcPr>
          <w:p w:rsidR="00DE3460" w:rsidRPr="00DE3460" w:rsidRDefault="00DE3460" w:rsidP="00DE3460">
            <w:pPr>
              <w:spacing w:before="0"/>
              <w:jc w:val="center"/>
              <w:rPr>
                <w:b/>
                <w:bCs/>
                <w:color w:val="000000"/>
                <w:lang w:bidi="ar-SA"/>
              </w:rPr>
            </w:pPr>
            <w:proofErr w:type="spellStart"/>
            <w:r w:rsidRPr="00DE3460">
              <w:rPr>
                <w:b/>
                <w:bCs/>
                <w:color w:val="000000"/>
                <w:lang w:bidi="ar-SA"/>
              </w:rPr>
              <w:t>Turbidimeter</w:t>
            </w:r>
            <w:proofErr w:type="spellEnd"/>
            <w:r w:rsidRPr="00DE3460">
              <w:rPr>
                <w:b/>
                <w:bCs/>
                <w:color w:val="000000"/>
                <w:lang w:bidi="ar-SA"/>
              </w:rPr>
              <w:t xml:space="preserve"> </w:t>
            </w:r>
          </w:p>
        </w:tc>
        <w:tc>
          <w:tcPr>
            <w:tcW w:w="1080" w:type="dxa"/>
            <w:tcBorders>
              <w:top w:val="single" w:sz="8" w:space="0" w:color="auto"/>
              <w:left w:val="nil"/>
              <w:bottom w:val="nil"/>
              <w:right w:val="single" w:sz="8" w:space="0" w:color="auto"/>
            </w:tcBorders>
            <w:shd w:val="clear" w:color="auto" w:fill="auto"/>
            <w:noWrap/>
            <w:vAlign w:val="bottom"/>
          </w:tcPr>
          <w:p w:rsidR="00DE3460" w:rsidRPr="00DE3460" w:rsidRDefault="00DE3460" w:rsidP="00DE3460">
            <w:pPr>
              <w:spacing w:before="0"/>
              <w:jc w:val="center"/>
              <w:rPr>
                <w:b/>
                <w:bCs/>
                <w:color w:val="000000"/>
                <w:lang w:bidi="ar-SA"/>
              </w:rPr>
            </w:pPr>
            <w:r w:rsidRPr="00DE3460">
              <w:rPr>
                <w:b/>
                <w:bCs/>
                <w:color w:val="000000"/>
                <w:lang w:bidi="ar-SA"/>
              </w:rPr>
              <w:t>Percent</w:t>
            </w:r>
          </w:p>
        </w:tc>
      </w:tr>
      <w:tr w:rsidR="00DE3460" w:rsidRPr="00DE3460">
        <w:trPr>
          <w:trHeight w:val="300"/>
          <w:jc w:val="center"/>
        </w:trPr>
        <w:tc>
          <w:tcPr>
            <w:tcW w:w="2240" w:type="dxa"/>
            <w:tcBorders>
              <w:top w:val="nil"/>
              <w:left w:val="single" w:sz="4" w:space="0" w:color="auto"/>
              <w:bottom w:val="single" w:sz="4" w:space="0" w:color="auto"/>
              <w:right w:val="single" w:sz="4" w:space="0" w:color="auto"/>
            </w:tcBorders>
            <w:shd w:val="clear" w:color="auto" w:fill="auto"/>
            <w:noWrap/>
            <w:vAlign w:val="bottom"/>
          </w:tcPr>
          <w:p w:rsidR="00DE3460" w:rsidRPr="00DE3460" w:rsidRDefault="00DE3460" w:rsidP="00DE3460">
            <w:pPr>
              <w:spacing w:before="0"/>
              <w:jc w:val="center"/>
              <w:rPr>
                <w:b/>
                <w:bCs/>
                <w:color w:val="000000"/>
                <w:lang w:bidi="ar-SA"/>
              </w:rPr>
            </w:pPr>
            <w:r w:rsidRPr="00DE3460">
              <w:rPr>
                <w:b/>
                <w:bCs/>
                <w:color w:val="000000"/>
                <w:lang w:bidi="ar-SA"/>
              </w:rPr>
              <w:t>("Agua Clara")</w:t>
            </w:r>
          </w:p>
        </w:tc>
        <w:tc>
          <w:tcPr>
            <w:tcW w:w="1825" w:type="dxa"/>
            <w:tcBorders>
              <w:top w:val="nil"/>
              <w:left w:val="nil"/>
              <w:bottom w:val="single" w:sz="4" w:space="0" w:color="auto"/>
              <w:right w:val="nil"/>
            </w:tcBorders>
            <w:shd w:val="clear" w:color="auto" w:fill="auto"/>
            <w:noWrap/>
            <w:vAlign w:val="bottom"/>
          </w:tcPr>
          <w:p w:rsidR="00DE3460" w:rsidRPr="00DE3460" w:rsidRDefault="00DE3460" w:rsidP="00DE3460">
            <w:pPr>
              <w:spacing w:before="0"/>
              <w:jc w:val="center"/>
              <w:rPr>
                <w:b/>
                <w:bCs/>
                <w:color w:val="000000"/>
                <w:lang w:bidi="ar-SA"/>
              </w:rPr>
            </w:pPr>
            <w:r w:rsidRPr="00DE3460">
              <w:rPr>
                <w:b/>
                <w:bCs/>
                <w:color w:val="000000"/>
                <w:lang w:bidi="ar-SA"/>
              </w:rPr>
              <w:t>(black stripe)</w:t>
            </w:r>
          </w:p>
        </w:tc>
        <w:tc>
          <w:tcPr>
            <w:tcW w:w="1710" w:type="dxa"/>
            <w:tcBorders>
              <w:top w:val="nil"/>
              <w:left w:val="single" w:sz="4" w:space="0" w:color="auto"/>
              <w:bottom w:val="single" w:sz="4" w:space="0" w:color="auto"/>
              <w:right w:val="single" w:sz="4" w:space="0" w:color="auto"/>
            </w:tcBorders>
            <w:shd w:val="clear" w:color="auto" w:fill="auto"/>
            <w:noWrap/>
            <w:vAlign w:val="bottom"/>
          </w:tcPr>
          <w:p w:rsidR="00DE3460" w:rsidRPr="00DE3460" w:rsidRDefault="00DE3460" w:rsidP="00DE3460">
            <w:pPr>
              <w:spacing w:before="0"/>
              <w:jc w:val="center"/>
              <w:rPr>
                <w:b/>
                <w:bCs/>
                <w:color w:val="000000"/>
                <w:lang w:bidi="ar-SA"/>
              </w:rPr>
            </w:pPr>
            <w:r w:rsidRPr="00DE3460">
              <w:rPr>
                <w:b/>
                <w:bCs/>
                <w:color w:val="000000"/>
                <w:lang w:bidi="ar-SA"/>
              </w:rPr>
              <w:t>Prediction</w:t>
            </w:r>
          </w:p>
        </w:tc>
        <w:tc>
          <w:tcPr>
            <w:tcW w:w="1710" w:type="dxa"/>
            <w:tcBorders>
              <w:top w:val="nil"/>
              <w:left w:val="nil"/>
              <w:bottom w:val="single" w:sz="4" w:space="0" w:color="auto"/>
              <w:right w:val="single" w:sz="4" w:space="0" w:color="auto"/>
            </w:tcBorders>
            <w:shd w:val="clear" w:color="auto" w:fill="auto"/>
            <w:noWrap/>
            <w:vAlign w:val="bottom"/>
          </w:tcPr>
          <w:p w:rsidR="00DE3460" w:rsidRPr="00DE3460" w:rsidRDefault="00DE3460" w:rsidP="00DE3460">
            <w:pPr>
              <w:spacing w:before="0"/>
              <w:jc w:val="center"/>
              <w:rPr>
                <w:b/>
                <w:bCs/>
                <w:color w:val="000000"/>
                <w:lang w:bidi="ar-SA"/>
              </w:rPr>
            </w:pPr>
            <w:r w:rsidRPr="00DE3460">
              <w:rPr>
                <w:b/>
                <w:bCs/>
                <w:color w:val="000000"/>
                <w:lang w:bidi="ar-SA"/>
              </w:rPr>
              <w:t>Reading</w:t>
            </w:r>
          </w:p>
        </w:tc>
        <w:tc>
          <w:tcPr>
            <w:tcW w:w="1080" w:type="dxa"/>
            <w:tcBorders>
              <w:top w:val="nil"/>
              <w:left w:val="nil"/>
              <w:bottom w:val="single" w:sz="4" w:space="0" w:color="auto"/>
              <w:right w:val="single" w:sz="8" w:space="0" w:color="auto"/>
            </w:tcBorders>
            <w:shd w:val="clear" w:color="auto" w:fill="auto"/>
            <w:noWrap/>
            <w:vAlign w:val="bottom"/>
          </w:tcPr>
          <w:p w:rsidR="00DE3460" w:rsidRPr="00DE3460" w:rsidRDefault="00DE3460" w:rsidP="00DE3460">
            <w:pPr>
              <w:spacing w:before="0"/>
              <w:jc w:val="center"/>
              <w:rPr>
                <w:b/>
                <w:bCs/>
                <w:color w:val="000000"/>
                <w:lang w:bidi="ar-SA"/>
              </w:rPr>
            </w:pPr>
            <w:r w:rsidRPr="00DE3460">
              <w:rPr>
                <w:b/>
                <w:bCs/>
                <w:color w:val="000000"/>
                <w:lang w:bidi="ar-SA"/>
              </w:rPr>
              <w:t>Error</w:t>
            </w:r>
          </w:p>
        </w:tc>
      </w:tr>
      <w:tr w:rsidR="00DE3460" w:rsidRPr="00DE3460">
        <w:trPr>
          <w:trHeight w:val="300"/>
          <w:jc w:val="center"/>
        </w:trPr>
        <w:tc>
          <w:tcPr>
            <w:tcW w:w="4065" w:type="dxa"/>
            <w:gridSpan w:val="2"/>
            <w:tcBorders>
              <w:top w:val="nil"/>
              <w:left w:val="single" w:sz="4" w:space="0" w:color="auto"/>
              <w:bottom w:val="single" w:sz="4" w:space="0" w:color="auto"/>
              <w:right w:val="single" w:sz="4" w:space="0" w:color="auto"/>
            </w:tcBorders>
            <w:shd w:val="clear" w:color="auto" w:fill="auto"/>
            <w:noWrap/>
            <w:vAlign w:val="bottom"/>
          </w:tcPr>
          <w:p w:rsidR="00DE3460" w:rsidRPr="00DE3460" w:rsidRDefault="00DE3460" w:rsidP="00AB6C4F">
            <w:pPr>
              <w:spacing w:before="0"/>
              <w:jc w:val="center"/>
              <w:rPr>
                <w:color w:val="000000"/>
                <w:lang w:bidi="ar-SA"/>
              </w:rPr>
            </w:pPr>
            <w:r w:rsidRPr="00DE3460">
              <w:rPr>
                <w:color w:val="000000"/>
                <w:lang w:bidi="ar-SA"/>
              </w:rPr>
              <w:t>(-------------------</w:t>
            </w:r>
            <w:r w:rsidR="00AB6C4F">
              <w:rPr>
                <w:color w:val="000000"/>
                <w:lang w:bidi="ar-SA"/>
              </w:rPr>
              <w:t>cm</w:t>
            </w:r>
            <w:r w:rsidRPr="00DE3460">
              <w:rPr>
                <w:color w:val="000000"/>
                <w:lang w:bidi="ar-SA"/>
              </w:rPr>
              <w:t>-------------------)</w:t>
            </w:r>
          </w:p>
        </w:tc>
        <w:tc>
          <w:tcPr>
            <w:tcW w:w="3420" w:type="dxa"/>
            <w:gridSpan w:val="2"/>
            <w:tcBorders>
              <w:top w:val="nil"/>
              <w:left w:val="nil"/>
              <w:bottom w:val="single" w:sz="4" w:space="0" w:color="auto"/>
              <w:right w:val="single" w:sz="4" w:space="0" w:color="auto"/>
            </w:tcBorders>
            <w:shd w:val="clear" w:color="auto" w:fill="auto"/>
            <w:noWrap/>
            <w:vAlign w:val="bottom"/>
          </w:tcPr>
          <w:p w:rsidR="00DE3460" w:rsidRPr="00DE3460" w:rsidRDefault="00DE3460" w:rsidP="00DE3460">
            <w:pPr>
              <w:spacing w:before="0"/>
              <w:jc w:val="center"/>
              <w:rPr>
                <w:color w:val="000000"/>
                <w:lang w:bidi="ar-SA"/>
              </w:rPr>
            </w:pPr>
            <w:r w:rsidRPr="00DE3460">
              <w:rPr>
                <w:color w:val="000000"/>
                <w:lang w:bidi="ar-SA"/>
              </w:rPr>
              <w:t>(------------NTU------------)</w:t>
            </w:r>
          </w:p>
        </w:tc>
        <w:tc>
          <w:tcPr>
            <w:tcW w:w="1080" w:type="dxa"/>
            <w:tcBorders>
              <w:top w:val="nil"/>
              <w:left w:val="single" w:sz="4" w:space="0" w:color="auto"/>
              <w:bottom w:val="single" w:sz="4" w:space="0" w:color="auto"/>
              <w:right w:val="single" w:sz="8" w:space="0" w:color="auto"/>
            </w:tcBorders>
            <w:shd w:val="clear" w:color="auto" w:fill="auto"/>
            <w:noWrap/>
            <w:vAlign w:val="bottom"/>
          </w:tcPr>
          <w:p w:rsidR="00DE3460" w:rsidRPr="00DE3460" w:rsidRDefault="00DE3460" w:rsidP="00DE3460">
            <w:pPr>
              <w:spacing w:before="0"/>
              <w:jc w:val="center"/>
              <w:rPr>
                <w:lang w:bidi="ar-SA"/>
              </w:rPr>
            </w:pPr>
            <w:r w:rsidRPr="00DE3460">
              <w:rPr>
                <w:lang w:bidi="ar-SA"/>
              </w:rPr>
              <w:t>(%)</w:t>
            </w:r>
          </w:p>
        </w:tc>
      </w:tr>
      <w:tr w:rsidR="00AB6C4F" w:rsidRPr="00DE3460">
        <w:trPr>
          <w:trHeight w:val="300"/>
          <w:jc w:val="center"/>
        </w:trPr>
        <w:tc>
          <w:tcPr>
            <w:tcW w:w="2240" w:type="dxa"/>
            <w:tcBorders>
              <w:top w:val="nil"/>
              <w:left w:val="single" w:sz="4" w:space="0" w:color="auto"/>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12.7</w:t>
            </w:r>
          </w:p>
        </w:tc>
        <w:tc>
          <w:tcPr>
            <w:tcW w:w="1825" w:type="dxa"/>
            <w:tcBorders>
              <w:top w:val="nil"/>
              <w:left w:val="nil"/>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16.51</w:t>
            </w:r>
          </w:p>
        </w:tc>
        <w:tc>
          <w:tcPr>
            <w:tcW w:w="1710" w:type="dxa"/>
            <w:tcBorders>
              <w:top w:val="nil"/>
              <w:left w:val="nil"/>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lang w:bidi="ar-SA"/>
              </w:rPr>
            </w:pPr>
            <w:r w:rsidRPr="00DE3460">
              <w:rPr>
                <w:lang w:bidi="ar-SA"/>
              </w:rPr>
              <w:t>170.98</w:t>
            </w:r>
          </w:p>
        </w:tc>
        <w:tc>
          <w:tcPr>
            <w:tcW w:w="1710" w:type="dxa"/>
            <w:tcBorders>
              <w:top w:val="nil"/>
              <w:left w:val="nil"/>
              <w:bottom w:val="single" w:sz="4" w:space="0" w:color="auto"/>
              <w:right w:val="nil"/>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107</w:t>
            </w:r>
          </w:p>
        </w:tc>
        <w:tc>
          <w:tcPr>
            <w:tcW w:w="1080" w:type="dxa"/>
            <w:tcBorders>
              <w:top w:val="nil"/>
              <w:left w:val="single" w:sz="4" w:space="0" w:color="auto"/>
              <w:bottom w:val="single" w:sz="4" w:space="0" w:color="auto"/>
              <w:right w:val="single" w:sz="8" w:space="0" w:color="auto"/>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59.79</w:t>
            </w:r>
          </w:p>
        </w:tc>
      </w:tr>
      <w:tr w:rsidR="00AB6C4F" w:rsidRPr="00DE3460">
        <w:trPr>
          <w:trHeight w:val="300"/>
          <w:jc w:val="center"/>
        </w:trPr>
        <w:tc>
          <w:tcPr>
            <w:tcW w:w="2240" w:type="dxa"/>
            <w:tcBorders>
              <w:top w:val="nil"/>
              <w:left w:val="single" w:sz="4" w:space="0" w:color="auto"/>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61</w:t>
            </w:r>
          </w:p>
        </w:tc>
        <w:tc>
          <w:tcPr>
            <w:tcW w:w="1825" w:type="dxa"/>
            <w:tcBorders>
              <w:top w:val="nil"/>
              <w:left w:val="nil"/>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91.44</w:t>
            </w:r>
          </w:p>
        </w:tc>
        <w:tc>
          <w:tcPr>
            <w:tcW w:w="1710" w:type="dxa"/>
            <w:tcBorders>
              <w:top w:val="nil"/>
              <w:left w:val="nil"/>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lang w:bidi="ar-SA"/>
              </w:rPr>
            </w:pPr>
            <w:r w:rsidRPr="00DE3460">
              <w:rPr>
                <w:lang w:bidi="ar-SA"/>
              </w:rPr>
              <w:t>22.92</w:t>
            </w:r>
          </w:p>
        </w:tc>
        <w:tc>
          <w:tcPr>
            <w:tcW w:w="1710" w:type="dxa"/>
            <w:tcBorders>
              <w:top w:val="nil"/>
              <w:left w:val="nil"/>
              <w:bottom w:val="single" w:sz="4" w:space="0" w:color="auto"/>
              <w:right w:val="nil"/>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22</w:t>
            </w:r>
          </w:p>
        </w:tc>
        <w:tc>
          <w:tcPr>
            <w:tcW w:w="1080" w:type="dxa"/>
            <w:tcBorders>
              <w:top w:val="nil"/>
              <w:left w:val="single" w:sz="4" w:space="0" w:color="auto"/>
              <w:bottom w:val="single" w:sz="4" w:space="0" w:color="auto"/>
              <w:right w:val="single" w:sz="8" w:space="0" w:color="auto"/>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4.20</w:t>
            </w:r>
          </w:p>
        </w:tc>
      </w:tr>
      <w:tr w:rsidR="00AB6C4F" w:rsidRPr="00DE3460">
        <w:trPr>
          <w:trHeight w:val="300"/>
          <w:jc w:val="center"/>
        </w:trPr>
        <w:tc>
          <w:tcPr>
            <w:tcW w:w="2240" w:type="dxa"/>
            <w:tcBorders>
              <w:top w:val="nil"/>
              <w:left w:val="single" w:sz="4" w:space="0" w:color="auto"/>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61</w:t>
            </w:r>
          </w:p>
        </w:tc>
        <w:tc>
          <w:tcPr>
            <w:tcW w:w="1825" w:type="dxa"/>
            <w:tcBorders>
              <w:top w:val="nil"/>
              <w:left w:val="nil"/>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118.11</w:t>
            </w:r>
          </w:p>
        </w:tc>
        <w:tc>
          <w:tcPr>
            <w:tcW w:w="1710" w:type="dxa"/>
            <w:tcBorders>
              <w:top w:val="nil"/>
              <w:left w:val="nil"/>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lang w:bidi="ar-SA"/>
              </w:rPr>
            </w:pPr>
            <w:r w:rsidRPr="00DE3460">
              <w:rPr>
                <w:lang w:bidi="ar-SA"/>
              </w:rPr>
              <w:t>14.01</w:t>
            </w:r>
          </w:p>
        </w:tc>
        <w:tc>
          <w:tcPr>
            <w:tcW w:w="1710" w:type="dxa"/>
            <w:tcBorders>
              <w:top w:val="nil"/>
              <w:left w:val="nil"/>
              <w:bottom w:val="single" w:sz="4" w:space="0" w:color="auto"/>
              <w:right w:val="nil"/>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16</w:t>
            </w:r>
          </w:p>
        </w:tc>
        <w:tc>
          <w:tcPr>
            <w:tcW w:w="1080" w:type="dxa"/>
            <w:tcBorders>
              <w:top w:val="nil"/>
              <w:left w:val="single" w:sz="4" w:space="0" w:color="auto"/>
              <w:bottom w:val="single" w:sz="4" w:space="0" w:color="auto"/>
              <w:right w:val="single" w:sz="8" w:space="0" w:color="auto"/>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12.44</w:t>
            </w:r>
          </w:p>
        </w:tc>
      </w:tr>
      <w:tr w:rsidR="00AB6C4F" w:rsidRPr="00DE3460">
        <w:trPr>
          <w:trHeight w:val="300"/>
          <w:jc w:val="center"/>
        </w:trPr>
        <w:tc>
          <w:tcPr>
            <w:tcW w:w="2240" w:type="dxa"/>
            <w:tcBorders>
              <w:top w:val="nil"/>
              <w:left w:val="single" w:sz="4" w:space="0" w:color="auto"/>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41.9</w:t>
            </w:r>
          </w:p>
        </w:tc>
        <w:tc>
          <w:tcPr>
            <w:tcW w:w="1825" w:type="dxa"/>
            <w:tcBorders>
              <w:top w:val="nil"/>
              <w:left w:val="nil"/>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99.06</w:t>
            </w:r>
          </w:p>
        </w:tc>
        <w:tc>
          <w:tcPr>
            <w:tcW w:w="1710" w:type="dxa"/>
            <w:tcBorders>
              <w:top w:val="nil"/>
              <w:left w:val="nil"/>
              <w:bottom w:val="single" w:sz="4" w:space="0" w:color="auto"/>
              <w:right w:val="single" w:sz="4" w:space="0" w:color="auto"/>
            </w:tcBorders>
            <w:shd w:val="clear" w:color="auto" w:fill="auto"/>
            <w:noWrap/>
            <w:vAlign w:val="bottom"/>
          </w:tcPr>
          <w:p w:rsidR="00AB6C4F" w:rsidRPr="00DE3460" w:rsidRDefault="00AB6C4F" w:rsidP="00DE3460">
            <w:pPr>
              <w:spacing w:before="0"/>
              <w:jc w:val="center"/>
              <w:rPr>
                <w:lang w:bidi="ar-SA"/>
              </w:rPr>
            </w:pPr>
            <w:r w:rsidRPr="00DE3460">
              <w:rPr>
                <w:lang w:bidi="ar-SA"/>
              </w:rPr>
              <w:t>19.65</w:t>
            </w:r>
          </w:p>
        </w:tc>
        <w:tc>
          <w:tcPr>
            <w:tcW w:w="1710" w:type="dxa"/>
            <w:tcBorders>
              <w:top w:val="nil"/>
              <w:left w:val="nil"/>
              <w:bottom w:val="single" w:sz="4" w:space="0" w:color="auto"/>
              <w:right w:val="nil"/>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16.5</w:t>
            </w:r>
          </w:p>
        </w:tc>
        <w:tc>
          <w:tcPr>
            <w:tcW w:w="1080" w:type="dxa"/>
            <w:tcBorders>
              <w:top w:val="nil"/>
              <w:left w:val="single" w:sz="4" w:space="0" w:color="auto"/>
              <w:bottom w:val="single" w:sz="4" w:space="0" w:color="auto"/>
              <w:right w:val="single" w:sz="8" w:space="0" w:color="auto"/>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19.10</w:t>
            </w:r>
          </w:p>
        </w:tc>
      </w:tr>
      <w:tr w:rsidR="00AB6C4F" w:rsidRPr="00DE3460">
        <w:trPr>
          <w:trHeight w:val="320"/>
          <w:jc w:val="center"/>
        </w:trPr>
        <w:tc>
          <w:tcPr>
            <w:tcW w:w="2240" w:type="dxa"/>
            <w:tcBorders>
              <w:top w:val="nil"/>
              <w:left w:val="single" w:sz="4" w:space="0" w:color="auto"/>
              <w:bottom w:val="single" w:sz="8"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48.3</w:t>
            </w:r>
          </w:p>
        </w:tc>
        <w:tc>
          <w:tcPr>
            <w:tcW w:w="1825" w:type="dxa"/>
            <w:tcBorders>
              <w:top w:val="nil"/>
              <w:left w:val="nil"/>
              <w:bottom w:val="single" w:sz="8" w:space="0" w:color="auto"/>
              <w:right w:val="single" w:sz="4" w:space="0" w:color="auto"/>
            </w:tcBorders>
            <w:shd w:val="clear" w:color="auto" w:fill="auto"/>
            <w:noWrap/>
            <w:vAlign w:val="bottom"/>
          </w:tcPr>
          <w:p w:rsidR="00AB6C4F" w:rsidRPr="00DE3460" w:rsidRDefault="00AB6C4F" w:rsidP="00DE3460">
            <w:pPr>
              <w:spacing w:before="0"/>
              <w:jc w:val="center"/>
              <w:rPr>
                <w:color w:val="000000"/>
                <w:lang w:bidi="ar-SA"/>
              </w:rPr>
            </w:pPr>
            <w:r>
              <w:rPr>
                <w:color w:val="000000"/>
                <w:lang w:bidi="ar-SA"/>
              </w:rPr>
              <w:t>88.09</w:t>
            </w:r>
          </w:p>
        </w:tc>
        <w:tc>
          <w:tcPr>
            <w:tcW w:w="1710" w:type="dxa"/>
            <w:tcBorders>
              <w:top w:val="nil"/>
              <w:left w:val="nil"/>
              <w:bottom w:val="single" w:sz="8" w:space="0" w:color="auto"/>
              <w:right w:val="single" w:sz="4" w:space="0" w:color="auto"/>
            </w:tcBorders>
            <w:shd w:val="clear" w:color="auto" w:fill="auto"/>
            <w:noWrap/>
            <w:vAlign w:val="bottom"/>
          </w:tcPr>
          <w:p w:rsidR="00AB6C4F" w:rsidRPr="00DE3460" w:rsidRDefault="00AB6C4F" w:rsidP="00DE3460">
            <w:pPr>
              <w:spacing w:before="0"/>
              <w:jc w:val="center"/>
              <w:rPr>
                <w:lang w:bidi="ar-SA"/>
              </w:rPr>
            </w:pPr>
            <w:r w:rsidRPr="00DE3460">
              <w:rPr>
                <w:lang w:bidi="ar-SA"/>
              </w:rPr>
              <w:t>24.20</w:t>
            </w:r>
          </w:p>
        </w:tc>
        <w:tc>
          <w:tcPr>
            <w:tcW w:w="1710" w:type="dxa"/>
            <w:tcBorders>
              <w:top w:val="nil"/>
              <w:left w:val="nil"/>
              <w:bottom w:val="single" w:sz="8" w:space="0" w:color="auto"/>
              <w:right w:val="nil"/>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16.5</w:t>
            </w:r>
          </w:p>
        </w:tc>
        <w:tc>
          <w:tcPr>
            <w:tcW w:w="1080" w:type="dxa"/>
            <w:tcBorders>
              <w:top w:val="nil"/>
              <w:left w:val="single" w:sz="4" w:space="0" w:color="auto"/>
              <w:bottom w:val="single" w:sz="8" w:space="0" w:color="auto"/>
              <w:right w:val="single" w:sz="8" w:space="0" w:color="auto"/>
            </w:tcBorders>
            <w:shd w:val="clear" w:color="auto" w:fill="auto"/>
            <w:noWrap/>
            <w:vAlign w:val="bottom"/>
          </w:tcPr>
          <w:p w:rsidR="00AB6C4F" w:rsidRPr="00DE3460" w:rsidRDefault="00AB6C4F" w:rsidP="00DE3460">
            <w:pPr>
              <w:spacing w:before="0"/>
              <w:jc w:val="center"/>
              <w:rPr>
                <w:color w:val="000000"/>
                <w:lang w:bidi="ar-SA"/>
              </w:rPr>
            </w:pPr>
            <w:r w:rsidRPr="00DE3460">
              <w:rPr>
                <w:color w:val="000000"/>
                <w:lang w:bidi="ar-SA"/>
              </w:rPr>
              <w:t>46.67</w:t>
            </w:r>
          </w:p>
        </w:tc>
      </w:tr>
    </w:tbl>
    <w:p w:rsidR="00BA65DA" w:rsidRDefault="00BA65DA">
      <w:pPr>
        <w:pStyle w:val="Body"/>
        <w:spacing w:line="480" w:lineRule="auto"/>
        <w:ind w:firstLine="720"/>
        <w:rPr>
          <w:rFonts w:ascii="Times New Roman" w:hAnsi="Times New Roman"/>
          <w:szCs w:val="24"/>
        </w:rPr>
      </w:pPr>
    </w:p>
    <w:p w:rsidR="00000000" w:rsidRDefault="009E65AD">
      <w:pPr>
        <w:pStyle w:val="indent"/>
      </w:pPr>
      <w:r w:rsidRPr="00D05DBF">
        <w:t xml:space="preserve">Comparing the </w:t>
      </w:r>
      <w:proofErr w:type="spellStart"/>
      <w:r w:rsidRPr="00D05DBF">
        <w:t>turbidimeter</w:t>
      </w:r>
      <w:proofErr w:type="spellEnd"/>
      <w:r w:rsidRPr="00D05DBF">
        <w:t xml:space="preserve"> prediction to the “true” </w:t>
      </w:r>
      <w:proofErr w:type="spellStart"/>
      <w:r w:rsidRPr="00D05DBF">
        <w:t>turbidimeter</w:t>
      </w:r>
      <w:proofErr w:type="spellEnd"/>
      <w:r w:rsidRPr="00D05DBF">
        <w:t xml:space="preserve"> reading, we were able to generate the percent error column in Table 5. Using the dual-range </w:t>
      </w:r>
      <w:proofErr w:type="spellStart"/>
      <w:r w:rsidRPr="00D05DBF">
        <w:t>turbidimeter</w:t>
      </w:r>
      <w:proofErr w:type="spellEnd"/>
      <w:r w:rsidRPr="00D05DBF">
        <w:t xml:space="preserve"> calibration setup, one out of five trial tests (Trial #1) from Ithaca streams went outside the goal accuracy range. Additionally we note that </w:t>
      </w:r>
      <w:r>
        <w:t>Trial #1 was in</w:t>
      </w:r>
      <w:r w:rsidRPr="00D05DBF">
        <w:t xml:space="preserve"> the </w:t>
      </w:r>
      <w:r>
        <w:t>“</w:t>
      </w:r>
      <w:r w:rsidRPr="00D05DBF">
        <w:t>high range</w:t>
      </w:r>
      <w:r>
        <w:t>”</w:t>
      </w:r>
      <w:r w:rsidRPr="00D05DBF">
        <w:t xml:space="preserve"> of turbidity values, while lower values within the 10- 30 NTU were extremely accurate </w:t>
      </w:r>
      <w:r>
        <w:t xml:space="preserve">(in some cases &lt;5 % error) </w:t>
      </w:r>
      <w:r w:rsidRPr="00D05DBF">
        <w:t xml:space="preserve">with the present design and procedure. </w:t>
      </w:r>
      <w:r>
        <w:t xml:space="preserve"> We realize it may be difficult to test extremely low range turbidity values based on the natural stream conditions in Ithaca. However, we plan to continue with these tests and acquire data for </w:t>
      </w:r>
      <w:r>
        <w:lastRenderedPageBreak/>
        <w:t xml:space="preserve">the lowest (&lt; 5 NTU) turbidity ranges after longer periods without storms that would stir up the local streams and increase the turbidity levels. </w:t>
      </w:r>
    </w:p>
    <w:p w:rsidR="00247F82" w:rsidRDefault="00247F82" w:rsidP="00247F82">
      <w:pPr>
        <w:pStyle w:val="Heading6"/>
        <w:jc w:val="center"/>
        <w:rPr>
          <w:sz w:val="24"/>
          <w:szCs w:val="24"/>
        </w:rPr>
      </w:pPr>
      <w:r>
        <w:rPr>
          <w:sz w:val="24"/>
          <w:szCs w:val="24"/>
        </w:rPr>
        <w:t>Experimental Results</w:t>
      </w:r>
      <w:r w:rsidR="003307A4">
        <w:rPr>
          <w:sz w:val="24"/>
          <w:szCs w:val="24"/>
        </w:rPr>
        <w:t xml:space="preserve"> with Online </w:t>
      </w:r>
      <w:proofErr w:type="spellStart"/>
      <w:r w:rsidR="003307A4">
        <w:rPr>
          <w:sz w:val="24"/>
          <w:szCs w:val="24"/>
        </w:rPr>
        <w:t>Turbidimeter</w:t>
      </w:r>
      <w:proofErr w:type="spellEnd"/>
    </w:p>
    <w:p w:rsidR="00AB6C4F" w:rsidRDefault="00AB6C4F" w:rsidP="00AB6C4F">
      <w:pPr>
        <w:spacing w:line="480" w:lineRule="auto"/>
        <w:ind w:firstLine="720"/>
      </w:pPr>
      <w:r>
        <w:t xml:space="preserve">A novel approach was used to measure the turbidity. In this method, the use of resolution instead of contrast was employed by using an “Agua Clara” design which was attached to the LED light. Below are the results for the calibration using the constant mix system experimental setup combined with the fine print “Agua Clara” </w:t>
      </w:r>
      <w:proofErr w:type="gramStart"/>
      <w:r>
        <w:t>design.</w:t>
      </w:r>
      <w:proofErr w:type="gramEnd"/>
      <w:r>
        <w:t xml:space="preserve"> Measurements of turbidity level to &lt; 5 NTU were achieved through this technique. </w:t>
      </w:r>
    </w:p>
    <w:p w:rsidR="002D4929" w:rsidRDefault="002D4929"/>
    <w:p w:rsidR="00000000" w:rsidRDefault="005B1B20">
      <w:pPr>
        <w:pStyle w:val="Heading8"/>
      </w:pPr>
      <w:proofErr w:type="gramStart"/>
      <w:r>
        <w:t>TABLE 6</w:t>
      </w:r>
      <w:r w:rsidRPr="00D05DBF">
        <w:t xml:space="preserve">: </w:t>
      </w:r>
      <w:r w:rsidR="0001530D">
        <w:t>Test 1 using Constant</w:t>
      </w:r>
      <w:r>
        <w:t xml:space="preserve"> Mix system and dual-range </w:t>
      </w:r>
      <w:r w:rsidR="00702A59">
        <w:t>turbidimeters.</w:t>
      </w:r>
      <w:proofErr w:type="gramEnd"/>
    </w:p>
    <w:tbl>
      <w:tblPr>
        <w:tblStyle w:val="TableGrid"/>
        <w:tblW w:w="0" w:type="auto"/>
        <w:jc w:val="center"/>
        <w:tblLook w:val="04A0"/>
      </w:tblPr>
      <w:tblGrid>
        <w:gridCol w:w="2952"/>
        <w:gridCol w:w="2952"/>
      </w:tblGrid>
      <w:tr w:rsidR="00BC4822">
        <w:trPr>
          <w:jc w:val="center"/>
        </w:trPr>
        <w:tc>
          <w:tcPr>
            <w:tcW w:w="2952" w:type="dxa"/>
          </w:tcPr>
          <w:p w:rsidR="00BC4822" w:rsidRDefault="00BC4822" w:rsidP="00247F82">
            <w:r>
              <w:t>NTU</w:t>
            </w:r>
          </w:p>
        </w:tc>
        <w:tc>
          <w:tcPr>
            <w:tcW w:w="2952" w:type="dxa"/>
          </w:tcPr>
          <w:p w:rsidR="00BC4822" w:rsidRDefault="00BC4822" w:rsidP="00247F82">
            <w:r>
              <w:t>Depth (cm) – “AguaClara” Letters</w:t>
            </w:r>
          </w:p>
        </w:tc>
      </w:tr>
      <w:tr w:rsidR="00BC4822">
        <w:trPr>
          <w:jc w:val="center"/>
        </w:trPr>
        <w:tc>
          <w:tcPr>
            <w:tcW w:w="2952" w:type="dxa"/>
          </w:tcPr>
          <w:p w:rsidR="00BC4822" w:rsidRDefault="00BC4822" w:rsidP="00247F82">
            <w:r w:rsidRPr="00247F82">
              <w:t>3.077</w:t>
            </w:r>
          </w:p>
        </w:tc>
        <w:tc>
          <w:tcPr>
            <w:tcW w:w="2952" w:type="dxa"/>
          </w:tcPr>
          <w:p w:rsidR="00BC4822" w:rsidRDefault="00BC4822" w:rsidP="00247F82">
            <w:r>
              <w:t>102.5</w:t>
            </w:r>
          </w:p>
        </w:tc>
      </w:tr>
      <w:tr w:rsidR="00BC4822">
        <w:trPr>
          <w:jc w:val="center"/>
        </w:trPr>
        <w:tc>
          <w:tcPr>
            <w:tcW w:w="2952" w:type="dxa"/>
          </w:tcPr>
          <w:p w:rsidR="00BC4822" w:rsidRDefault="00BC4822" w:rsidP="00247F82">
            <w:r>
              <w:t>4.167</w:t>
            </w:r>
          </w:p>
        </w:tc>
        <w:tc>
          <w:tcPr>
            <w:tcW w:w="2952" w:type="dxa"/>
          </w:tcPr>
          <w:p w:rsidR="00BC4822" w:rsidRDefault="00BC4822" w:rsidP="00247F82">
            <w:r>
              <w:t>91</w:t>
            </w:r>
          </w:p>
        </w:tc>
      </w:tr>
      <w:tr w:rsidR="00BC4822">
        <w:trPr>
          <w:jc w:val="center"/>
        </w:trPr>
        <w:tc>
          <w:tcPr>
            <w:tcW w:w="2952" w:type="dxa"/>
          </w:tcPr>
          <w:p w:rsidR="00BC4822" w:rsidRDefault="00BC4822" w:rsidP="00247F82">
            <w:r>
              <w:t>4.615</w:t>
            </w:r>
          </w:p>
        </w:tc>
        <w:tc>
          <w:tcPr>
            <w:tcW w:w="2952" w:type="dxa"/>
          </w:tcPr>
          <w:p w:rsidR="00BC4822" w:rsidRDefault="00BC4822" w:rsidP="00247F82">
            <w:r>
              <w:t>69</w:t>
            </w:r>
          </w:p>
        </w:tc>
      </w:tr>
      <w:tr w:rsidR="00BC4822">
        <w:trPr>
          <w:jc w:val="center"/>
        </w:trPr>
        <w:tc>
          <w:tcPr>
            <w:tcW w:w="2952" w:type="dxa"/>
          </w:tcPr>
          <w:p w:rsidR="00BC4822" w:rsidRDefault="00BC4822" w:rsidP="00247F82">
            <w:r>
              <w:t>5.132</w:t>
            </w:r>
          </w:p>
        </w:tc>
        <w:tc>
          <w:tcPr>
            <w:tcW w:w="2952" w:type="dxa"/>
          </w:tcPr>
          <w:p w:rsidR="00BC4822" w:rsidRDefault="00BC4822" w:rsidP="00247F82">
            <w:r>
              <w:t>59</w:t>
            </w:r>
          </w:p>
        </w:tc>
      </w:tr>
      <w:tr w:rsidR="00BC4822">
        <w:trPr>
          <w:jc w:val="center"/>
        </w:trPr>
        <w:tc>
          <w:tcPr>
            <w:tcW w:w="2952" w:type="dxa"/>
          </w:tcPr>
          <w:p w:rsidR="00BC4822" w:rsidRDefault="00BC4822" w:rsidP="00247F82">
            <w:r>
              <w:t>6.481</w:t>
            </w:r>
          </w:p>
        </w:tc>
        <w:tc>
          <w:tcPr>
            <w:tcW w:w="2952" w:type="dxa"/>
          </w:tcPr>
          <w:p w:rsidR="00BC4822" w:rsidRDefault="00BC4822" w:rsidP="00247F82">
            <w:r>
              <w:t>55</w:t>
            </w:r>
          </w:p>
        </w:tc>
      </w:tr>
      <w:tr w:rsidR="00BC4822">
        <w:trPr>
          <w:jc w:val="center"/>
        </w:trPr>
        <w:tc>
          <w:tcPr>
            <w:tcW w:w="2952" w:type="dxa"/>
          </w:tcPr>
          <w:p w:rsidR="00BC4822" w:rsidRDefault="00BC4822" w:rsidP="00247F82">
            <w:r>
              <w:t>7.012</w:t>
            </w:r>
          </w:p>
        </w:tc>
        <w:tc>
          <w:tcPr>
            <w:tcW w:w="2952" w:type="dxa"/>
          </w:tcPr>
          <w:p w:rsidR="00BC4822" w:rsidRDefault="00BC4822" w:rsidP="00247F82">
            <w:r>
              <w:t>49</w:t>
            </w:r>
          </w:p>
        </w:tc>
      </w:tr>
      <w:tr w:rsidR="00BC4822">
        <w:trPr>
          <w:jc w:val="center"/>
        </w:trPr>
        <w:tc>
          <w:tcPr>
            <w:tcW w:w="2952" w:type="dxa"/>
          </w:tcPr>
          <w:p w:rsidR="00BC4822" w:rsidRDefault="00BC4822" w:rsidP="00247F82">
            <w:r>
              <w:t>8.661</w:t>
            </w:r>
          </w:p>
        </w:tc>
        <w:tc>
          <w:tcPr>
            <w:tcW w:w="2952" w:type="dxa"/>
          </w:tcPr>
          <w:p w:rsidR="00BC4822" w:rsidRDefault="00BC4822" w:rsidP="00247F82">
            <w:r>
              <w:t>44</w:t>
            </w:r>
          </w:p>
        </w:tc>
      </w:tr>
      <w:tr w:rsidR="00BC4822">
        <w:trPr>
          <w:jc w:val="center"/>
        </w:trPr>
        <w:tc>
          <w:tcPr>
            <w:tcW w:w="2952" w:type="dxa"/>
          </w:tcPr>
          <w:p w:rsidR="00BC4822" w:rsidRDefault="00BC4822" w:rsidP="00247F82">
            <w:r>
              <w:t>9.31</w:t>
            </w:r>
          </w:p>
        </w:tc>
        <w:tc>
          <w:tcPr>
            <w:tcW w:w="2952" w:type="dxa"/>
          </w:tcPr>
          <w:p w:rsidR="00BC4822" w:rsidRDefault="00BC4822" w:rsidP="00247F82">
            <w:r>
              <w:t>40</w:t>
            </w:r>
          </w:p>
        </w:tc>
      </w:tr>
      <w:tr w:rsidR="00BC4822">
        <w:trPr>
          <w:jc w:val="center"/>
        </w:trPr>
        <w:tc>
          <w:tcPr>
            <w:tcW w:w="2952" w:type="dxa"/>
          </w:tcPr>
          <w:p w:rsidR="00BC4822" w:rsidRDefault="00BC4822" w:rsidP="00247F82">
            <w:r>
              <w:t>10.003</w:t>
            </w:r>
          </w:p>
        </w:tc>
        <w:tc>
          <w:tcPr>
            <w:tcW w:w="2952" w:type="dxa"/>
          </w:tcPr>
          <w:p w:rsidR="00BC4822" w:rsidRDefault="00BC4822" w:rsidP="00247F82">
            <w:r>
              <w:t>40</w:t>
            </w:r>
          </w:p>
        </w:tc>
      </w:tr>
      <w:tr w:rsidR="00BC4822">
        <w:trPr>
          <w:jc w:val="center"/>
        </w:trPr>
        <w:tc>
          <w:tcPr>
            <w:tcW w:w="2952" w:type="dxa"/>
          </w:tcPr>
          <w:p w:rsidR="00BC4822" w:rsidRDefault="00BC4822" w:rsidP="00247F82">
            <w:r>
              <w:t>11.609</w:t>
            </w:r>
          </w:p>
        </w:tc>
        <w:tc>
          <w:tcPr>
            <w:tcW w:w="2952" w:type="dxa"/>
          </w:tcPr>
          <w:p w:rsidR="00BC4822" w:rsidRDefault="00BC4822" w:rsidP="00247F82">
            <w:r>
              <w:t>36</w:t>
            </w:r>
          </w:p>
        </w:tc>
      </w:tr>
      <w:tr w:rsidR="00BC4822">
        <w:trPr>
          <w:jc w:val="center"/>
        </w:trPr>
        <w:tc>
          <w:tcPr>
            <w:tcW w:w="2952" w:type="dxa"/>
          </w:tcPr>
          <w:p w:rsidR="00BC4822" w:rsidRDefault="00BC4822" w:rsidP="00247F82">
            <w:r>
              <w:t>15.167</w:t>
            </w:r>
          </w:p>
        </w:tc>
        <w:tc>
          <w:tcPr>
            <w:tcW w:w="2952" w:type="dxa"/>
          </w:tcPr>
          <w:p w:rsidR="00BC4822" w:rsidRDefault="00BC4822" w:rsidP="00247F82">
            <w:r>
              <w:t>36</w:t>
            </w:r>
          </w:p>
        </w:tc>
      </w:tr>
      <w:tr w:rsidR="00BC4822">
        <w:trPr>
          <w:jc w:val="center"/>
        </w:trPr>
        <w:tc>
          <w:tcPr>
            <w:tcW w:w="2952" w:type="dxa"/>
          </w:tcPr>
          <w:p w:rsidR="00BC4822" w:rsidRDefault="00BC4822" w:rsidP="00247F82">
            <w:r>
              <w:t>20.301</w:t>
            </w:r>
          </w:p>
        </w:tc>
        <w:tc>
          <w:tcPr>
            <w:tcW w:w="2952" w:type="dxa"/>
          </w:tcPr>
          <w:p w:rsidR="00BC4822" w:rsidRDefault="00BC4822" w:rsidP="00247F82">
            <w:r>
              <w:t>25</w:t>
            </w:r>
          </w:p>
        </w:tc>
      </w:tr>
      <w:tr w:rsidR="00BC4822">
        <w:trPr>
          <w:jc w:val="center"/>
        </w:trPr>
        <w:tc>
          <w:tcPr>
            <w:tcW w:w="2952" w:type="dxa"/>
          </w:tcPr>
          <w:p w:rsidR="00BC4822" w:rsidRDefault="00BC4822" w:rsidP="00247F82">
            <w:r>
              <w:t>39.676</w:t>
            </w:r>
          </w:p>
        </w:tc>
        <w:tc>
          <w:tcPr>
            <w:tcW w:w="2952" w:type="dxa"/>
          </w:tcPr>
          <w:p w:rsidR="00BC4822" w:rsidRDefault="00BC4822" w:rsidP="00247F82">
            <w:r>
              <w:t>22</w:t>
            </w:r>
          </w:p>
        </w:tc>
      </w:tr>
      <w:tr w:rsidR="00BC4822">
        <w:trPr>
          <w:jc w:val="center"/>
        </w:trPr>
        <w:tc>
          <w:tcPr>
            <w:tcW w:w="2952" w:type="dxa"/>
          </w:tcPr>
          <w:p w:rsidR="00BC4822" w:rsidRDefault="00BC4822" w:rsidP="00247F82">
            <w:r>
              <w:t>39.676</w:t>
            </w:r>
          </w:p>
        </w:tc>
        <w:tc>
          <w:tcPr>
            <w:tcW w:w="2952" w:type="dxa"/>
          </w:tcPr>
          <w:p w:rsidR="00BC4822" w:rsidRDefault="00BC4822" w:rsidP="00247F82">
            <w:r>
              <w:t>18</w:t>
            </w:r>
          </w:p>
        </w:tc>
      </w:tr>
      <w:tr w:rsidR="00BC4822">
        <w:trPr>
          <w:jc w:val="center"/>
        </w:trPr>
        <w:tc>
          <w:tcPr>
            <w:tcW w:w="2952" w:type="dxa"/>
          </w:tcPr>
          <w:p w:rsidR="00BC4822" w:rsidRDefault="00BC4822" w:rsidP="00247F82">
            <w:r>
              <w:t>51.461</w:t>
            </w:r>
          </w:p>
        </w:tc>
        <w:tc>
          <w:tcPr>
            <w:tcW w:w="2952" w:type="dxa"/>
          </w:tcPr>
          <w:p w:rsidR="00BC4822" w:rsidRDefault="00BC4822" w:rsidP="00247F82">
            <w:r>
              <w:t>15</w:t>
            </w:r>
          </w:p>
        </w:tc>
      </w:tr>
      <w:tr w:rsidR="00BC4822">
        <w:trPr>
          <w:jc w:val="center"/>
        </w:trPr>
        <w:tc>
          <w:tcPr>
            <w:tcW w:w="2952" w:type="dxa"/>
          </w:tcPr>
          <w:p w:rsidR="00BC4822" w:rsidRDefault="00BC4822" w:rsidP="00247F82">
            <w:r>
              <w:lastRenderedPageBreak/>
              <w:t>61.634</w:t>
            </w:r>
          </w:p>
        </w:tc>
        <w:tc>
          <w:tcPr>
            <w:tcW w:w="2952" w:type="dxa"/>
          </w:tcPr>
          <w:p w:rsidR="00BC4822" w:rsidRDefault="00BC4822" w:rsidP="00247F82">
            <w:r>
              <w:t>15</w:t>
            </w:r>
          </w:p>
        </w:tc>
      </w:tr>
      <w:tr w:rsidR="00BC4822">
        <w:trPr>
          <w:jc w:val="center"/>
        </w:trPr>
        <w:tc>
          <w:tcPr>
            <w:tcW w:w="2952" w:type="dxa"/>
          </w:tcPr>
          <w:p w:rsidR="00BC4822" w:rsidRDefault="00BC4822" w:rsidP="00247F82">
            <w:r>
              <w:t>77.946</w:t>
            </w:r>
          </w:p>
        </w:tc>
        <w:tc>
          <w:tcPr>
            <w:tcW w:w="2952" w:type="dxa"/>
          </w:tcPr>
          <w:p w:rsidR="00BC4822" w:rsidRDefault="00BC4822" w:rsidP="00247F82">
            <w:r>
              <w:t>12</w:t>
            </w:r>
          </w:p>
        </w:tc>
      </w:tr>
      <w:tr w:rsidR="00BC4822">
        <w:trPr>
          <w:jc w:val="center"/>
        </w:trPr>
        <w:tc>
          <w:tcPr>
            <w:tcW w:w="2952" w:type="dxa"/>
          </w:tcPr>
          <w:p w:rsidR="00BC4822" w:rsidRDefault="00BC4822" w:rsidP="00247F82">
            <w:r>
              <w:t>104.81</w:t>
            </w:r>
          </w:p>
        </w:tc>
        <w:tc>
          <w:tcPr>
            <w:tcW w:w="2952" w:type="dxa"/>
          </w:tcPr>
          <w:p w:rsidR="00BC4822" w:rsidRDefault="00BC4822" w:rsidP="00247F82">
            <w:r>
              <w:t>10</w:t>
            </w:r>
          </w:p>
        </w:tc>
      </w:tr>
      <w:tr w:rsidR="00BC4822">
        <w:trPr>
          <w:jc w:val="center"/>
        </w:trPr>
        <w:tc>
          <w:tcPr>
            <w:tcW w:w="2952" w:type="dxa"/>
          </w:tcPr>
          <w:p w:rsidR="00BC4822" w:rsidRDefault="00BC4822" w:rsidP="00247F82">
            <w:r>
              <w:t>136.34</w:t>
            </w:r>
          </w:p>
        </w:tc>
        <w:tc>
          <w:tcPr>
            <w:tcW w:w="2952" w:type="dxa"/>
          </w:tcPr>
          <w:p w:rsidR="00BC4822" w:rsidRDefault="00BC4822" w:rsidP="00247F82">
            <w:r>
              <w:t>9</w:t>
            </w:r>
          </w:p>
        </w:tc>
      </w:tr>
      <w:tr w:rsidR="00BC4822">
        <w:trPr>
          <w:jc w:val="center"/>
        </w:trPr>
        <w:tc>
          <w:tcPr>
            <w:tcW w:w="2952" w:type="dxa"/>
          </w:tcPr>
          <w:p w:rsidR="00BC4822" w:rsidRDefault="00BC4822" w:rsidP="00247F82">
            <w:r>
              <w:t>182.93</w:t>
            </w:r>
          </w:p>
        </w:tc>
        <w:tc>
          <w:tcPr>
            <w:tcW w:w="2952" w:type="dxa"/>
          </w:tcPr>
          <w:p w:rsidR="00BC4822" w:rsidRDefault="00BC4822" w:rsidP="00247F82">
            <w:r>
              <w:t>8</w:t>
            </w:r>
          </w:p>
        </w:tc>
      </w:tr>
      <w:tr w:rsidR="00BC4822">
        <w:trPr>
          <w:jc w:val="center"/>
        </w:trPr>
        <w:tc>
          <w:tcPr>
            <w:tcW w:w="2952" w:type="dxa"/>
          </w:tcPr>
          <w:p w:rsidR="00BC4822" w:rsidRDefault="00BC4822" w:rsidP="00247F82">
            <w:r>
              <w:t>251.61</w:t>
            </w:r>
          </w:p>
        </w:tc>
        <w:tc>
          <w:tcPr>
            <w:tcW w:w="2952" w:type="dxa"/>
          </w:tcPr>
          <w:p w:rsidR="00BC4822" w:rsidRDefault="00BC4822" w:rsidP="00247F82">
            <w:r>
              <w:t>7</w:t>
            </w:r>
          </w:p>
        </w:tc>
      </w:tr>
      <w:tr w:rsidR="00BC4822">
        <w:trPr>
          <w:jc w:val="center"/>
        </w:trPr>
        <w:tc>
          <w:tcPr>
            <w:tcW w:w="2952" w:type="dxa"/>
          </w:tcPr>
          <w:p w:rsidR="00BC4822" w:rsidRDefault="00BC4822" w:rsidP="00247F82">
            <w:r>
              <w:t>311.92</w:t>
            </w:r>
          </w:p>
        </w:tc>
        <w:tc>
          <w:tcPr>
            <w:tcW w:w="2952" w:type="dxa"/>
          </w:tcPr>
          <w:p w:rsidR="00BC4822" w:rsidRDefault="00BC4822" w:rsidP="00247F82">
            <w:r>
              <w:t>7</w:t>
            </w:r>
          </w:p>
        </w:tc>
      </w:tr>
    </w:tbl>
    <w:p w:rsidR="00000000" w:rsidRDefault="00FC5285">
      <w:pPr>
        <w:pStyle w:val="Heading9"/>
      </w:pPr>
    </w:p>
    <w:p w:rsidR="00F74566" w:rsidRDefault="00F74566"/>
    <w:p w:rsidR="00000000" w:rsidRDefault="00FC5285">
      <w:pPr>
        <w:pStyle w:val="figure"/>
        <w:rPr>
          <w:rFonts w:eastAsia="Cambria"/>
        </w:rPr>
      </w:pPr>
      <w:r>
        <w:rPr>
          <w:rFonts w:eastAsia="Cambria"/>
          <w:noProof/>
        </w:rPr>
        <w:drawing>
          <wp:inline distT="0" distB="0" distL="0" distR="0">
            <wp:extent cx="4522470" cy="3303270"/>
            <wp:effectExtent l="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srcRect/>
                    <a:stretch>
                      <a:fillRect/>
                    </a:stretch>
                  </pic:blipFill>
                  <pic:spPr bwMode="auto">
                    <a:xfrm>
                      <a:off x="0" y="0"/>
                      <a:ext cx="4522470" cy="3303270"/>
                    </a:xfrm>
                    <a:prstGeom prst="rect">
                      <a:avLst/>
                    </a:prstGeom>
                    <a:noFill/>
                    <a:ln w="9525">
                      <a:noFill/>
                      <a:miter lim="800000"/>
                      <a:headEnd/>
                      <a:tailEnd/>
                    </a:ln>
                  </pic:spPr>
                </pic:pic>
              </a:graphicData>
            </a:graphic>
          </wp:inline>
        </w:drawing>
      </w:r>
    </w:p>
    <w:p w:rsidR="00000000" w:rsidRDefault="005E7428">
      <w:pPr>
        <w:pStyle w:val="Heading9"/>
      </w:pPr>
      <w:r>
        <w:t>Figure 12: The Log-log plot for the data in Table 6.</w:t>
      </w:r>
    </w:p>
    <w:p w:rsidR="00BA65DA" w:rsidRDefault="00BA65DA" w:rsidP="00BA65DA">
      <w:pPr>
        <w:pStyle w:val="Body"/>
        <w:spacing w:line="480" w:lineRule="auto"/>
        <w:rPr>
          <w:rFonts w:ascii="Times New Roman" w:hAnsi="Times New Roman"/>
          <w:b/>
          <w:i/>
          <w:sz w:val="28"/>
          <w:szCs w:val="28"/>
        </w:rPr>
      </w:pPr>
    </w:p>
    <w:p w:rsidR="00BC4822" w:rsidRPr="00BC4822" w:rsidRDefault="00BC4822" w:rsidP="00BC4822">
      <w:pPr>
        <w:pStyle w:val="Body"/>
        <w:spacing w:line="480" w:lineRule="auto"/>
        <w:rPr>
          <w:rFonts w:ascii="Times New Roman" w:hAnsi="Times New Roman"/>
          <w:szCs w:val="24"/>
        </w:rPr>
      </w:pPr>
      <w:r w:rsidRPr="00781DAF">
        <w:rPr>
          <w:rFonts w:ascii="Times New Roman" w:hAnsi="Times New Roman"/>
          <w:szCs w:val="24"/>
        </w:rPr>
        <w:t xml:space="preserve">Analyzing the above data, </w:t>
      </w:r>
      <w:r w:rsidRPr="00737364">
        <w:rPr>
          <w:rFonts w:ascii="Times New Roman" w:hAnsi="Times New Roman"/>
          <w:szCs w:val="24"/>
        </w:rPr>
        <w:t xml:space="preserve">we noted that the first two data points (both &lt;5 NTU) </w:t>
      </w:r>
      <w:r>
        <w:rPr>
          <w:rFonts w:ascii="Times New Roman" w:hAnsi="Times New Roman"/>
          <w:szCs w:val="24"/>
        </w:rPr>
        <w:t>didn’t</w:t>
      </w:r>
      <w:r w:rsidRPr="00737364">
        <w:rPr>
          <w:rFonts w:ascii="Times New Roman" w:hAnsi="Times New Roman"/>
          <w:szCs w:val="24"/>
        </w:rPr>
        <w:t xml:space="preserve"> </w:t>
      </w:r>
      <w:r>
        <w:rPr>
          <w:rFonts w:ascii="Times New Roman" w:hAnsi="Times New Roman"/>
          <w:szCs w:val="24"/>
        </w:rPr>
        <w:t xml:space="preserve">add great value to our calibration, and weren’t very accurately predicted by the power law relationship. For these reasons, we excluded these points and re-plotted the data, generated a better fit calibration equation. The results and equation generated to predict </w:t>
      </w:r>
      <w:r>
        <w:rPr>
          <w:rFonts w:ascii="Times New Roman" w:hAnsi="Times New Roman"/>
          <w:szCs w:val="24"/>
        </w:rPr>
        <w:lastRenderedPageBreak/>
        <w:t xml:space="preserve">turbidity vs. depth for the final portable </w:t>
      </w:r>
      <w:proofErr w:type="spellStart"/>
      <w:r>
        <w:rPr>
          <w:rFonts w:ascii="Times New Roman" w:hAnsi="Times New Roman"/>
          <w:szCs w:val="24"/>
        </w:rPr>
        <w:t>turbidimeter</w:t>
      </w:r>
      <w:proofErr w:type="spellEnd"/>
      <w:r>
        <w:rPr>
          <w:rFonts w:ascii="Times New Roman" w:hAnsi="Times New Roman"/>
          <w:szCs w:val="24"/>
        </w:rPr>
        <w:t xml:space="preserve"> prototype are included in Figure 13 below. </w:t>
      </w:r>
    </w:p>
    <w:p w:rsidR="00BC4822" w:rsidRDefault="00FC5285" w:rsidP="00BC4822">
      <w:pPr>
        <w:pStyle w:val="Graph"/>
      </w:pPr>
      <w:r>
        <w:rPr>
          <w:noProof/>
        </w:rPr>
        <w:drawing>
          <wp:inline distT="0" distB="0" distL="0" distR="0">
            <wp:extent cx="4572000" cy="27432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C4822" w:rsidRDefault="00BC4822" w:rsidP="00BC4822">
      <w:pPr>
        <w:pStyle w:val="Graph"/>
      </w:pPr>
      <w:r>
        <w:t xml:space="preserve">FIGURE 13: Calibration values used to create Agua Clara prototype scaling equation. </w:t>
      </w:r>
    </w:p>
    <w:p w:rsidR="00BC4822" w:rsidRPr="009475EC" w:rsidRDefault="00BC4822" w:rsidP="00BC4822">
      <w:pPr>
        <w:pStyle w:val="Body"/>
        <w:spacing w:line="480" w:lineRule="auto"/>
        <w:rPr>
          <w:rFonts w:ascii="Times New Roman" w:hAnsi="Times New Roman"/>
          <w:szCs w:val="24"/>
        </w:rPr>
      </w:pPr>
    </w:p>
    <w:p w:rsidR="005E7428" w:rsidRDefault="00BC4822" w:rsidP="005E7428">
      <w:pPr>
        <w:pStyle w:val="Body"/>
        <w:spacing w:line="480" w:lineRule="auto"/>
        <w:rPr>
          <w:rFonts w:ascii="Times New Roman" w:hAnsi="Times New Roman"/>
          <w:szCs w:val="24"/>
        </w:rPr>
      </w:pPr>
      <w:r w:rsidRPr="00781DAF">
        <w:rPr>
          <w:rFonts w:ascii="Times New Roman" w:hAnsi="Times New Roman"/>
          <w:szCs w:val="24"/>
        </w:rPr>
        <w:t>As seen in Figure</w:t>
      </w:r>
      <w:r>
        <w:rPr>
          <w:rFonts w:ascii="Times New Roman" w:hAnsi="Times New Roman"/>
          <w:szCs w:val="24"/>
        </w:rPr>
        <w:t>13</w:t>
      </w:r>
      <w:r w:rsidRPr="00781DAF">
        <w:rPr>
          <w:rFonts w:ascii="Times New Roman" w:hAnsi="Times New Roman"/>
          <w:szCs w:val="24"/>
        </w:rPr>
        <w:t xml:space="preserve">, the equation used to calibrate </w:t>
      </w:r>
      <w:r>
        <w:rPr>
          <w:rFonts w:ascii="Times New Roman" w:hAnsi="Times New Roman"/>
          <w:szCs w:val="24"/>
        </w:rPr>
        <w:t xml:space="preserve">the turbidity scale has an extremely good fit (R^2=0.99) after removing the first two unnecessary data points. </w:t>
      </w:r>
      <w:r w:rsidRPr="009475EC">
        <w:rPr>
          <w:rFonts w:ascii="Times New Roman" w:hAnsi="Times New Roman"/>
          <w:szCs w:val="24"/>
        </w:rPr>
        <w:t>This generated the equation was then used to calibrate the final prototype</w:t>
      </w:r>
      <w:r>
        <w:rPr>
          <w:rFonts w:ascii="Times New Roman" w:hAnsi="Times New Roman"/>
          <w:szCs w:val="24"/>
        </w:rPr>
        <w:t>, with a range from &lt;5 NTU to &gt;250NTU (accomplishing one of the initial goals of the turbidity team!)</w:t>
      </w:r>
      <w:r w:rsidRPr="009475EC">
        <w:rPr>
          <w:rFonts w:ascii="Times New Roman" w:hAnsi="Times New Roman"/>
          <w:szCs w:val="24"/>
        </w:rPr>
        <w:t>. The team decided the final</w:t>
      </w:r>
      <w:r>
        <w:rPr>
          <w:rFonts w:ascii="Times New Roman" w:hAnsi="Times New Roman"/>
          <w:szCs w:val="24"/>
        </w:rPr>
        <w:t xml:space="preserve"> prototype scale should include the following turbidity values: 5, 7, 10, 15, 20, 30, 40, 50, 70, 100, 150, 200 NTU, and 250 NTU. Using the calibration equation above, the final prototype calibration scale data in </w:t>
      </w:r>
      <w:proofErr w:type="gramStart"/>
      <w:r>
        <w:rPr>
          <w:rFonts w:ascii="Times New Roman" w:hAnsi="Times New Roman"/>
          <w:szCs w:val="24"/>
        </w:rPr>
        <w:t>included  below</w:t>
      </w:r>
      <w:proofErr w:type="gramEnd"/>
      <w:r>
        <w:rPr>
          <w:rFonts w:ascii="Times New Roman" w:hAnsi="Times New Roman"/>
          <w:szCs w:val="24"/>
        </w:rPr>
        <w:t xml:space="preserve">. </w:t>
      </w:r>
    </w:p>
    <w:p w:rsidR="005E7428" w:rsidRDefault="005E7428" w:rsidP="005E7428">
      <w:pPr>
        <w:pStyle w:val="Body"/>
        <w:spacing w:line="480" w:lineRule="auto"/>
        <w:rPr>
          <w:rFonts w:ascii="Times New Roman" w:hAnsi="Times New Roman"/>
          <w:szCs w:val="24"/>
        </w:rPr>
      </w:pPr>
    </w:p>
    <w:p w:rsidR="00000000" w:rsidRDefault="00FC5285">
      <w:pPr>
        <w:pStyle w:val="Body"/>
        <w:spacing w:line="480" w:lineRule="auto"/>
        <w:rPr>
          <w:rFonts w:ascii="Times New Roman" w:hAnsi="Times New Roman"/>
          <w:szCs w:val="24"/>
        </w:rPr>
      </w:pPr>
    </w:p>
    <w:p w:rsidR="00222156" w:rsidRPr="00022DCA" w:rsidRDefault="00222156" w:rsidP="00022DCA">
      <w:pPr>
        <w:pStyle w:val="Body"/>
        <w:spacing w:line="240" w:lineRule="auto"/>
        <w:jc w:val="center"/>
        <w:rPr>
          <w:rFonts w:ascii="Times New Roman" w:hAnsi="Times New Roman"/>
          <w:b/>
          <w:szCs w:val="24"/>
        </w:rPr>
      </w:pPr>
      <w:proofErr w:type="gramStart"/>
      <w:r w:rsidRPr="00022DCA">
        <w:rPr>
          <w:rFonts w:ascii="Times New Roman" w:hAnsi="Times New Roman"/>
          <w:b/>
          <w:szCs w:val="24"/>
        </w:rPr>
        <w:lastRenderedPageBreak/>
        <w:t>TABLE 8: Final calibration turbidity and corresponding depth used for scale on the measuring rod.</w:t>
      </w:r>
      <w:proofErr w:type="gramEnd"/>
    </w:p>
    <w:tbl>
      <w:tblPr>
        <w:tblStyle w:val="TableGrid"/>
        <w:tblW w:w="0" w:type="auto"/>
        <w:tblLook w:val="04A0"/>
      </w:tblPr>
      <w:tblGrid>
        <w:gridCol w:w="2952"/>
        <w:gridCol w:w="2952"/>
      </w:tblGrid>
      <w:tr w:rsidR="005E30BD" w:rsidTr="00225350">
        <w:tc>
          <w:tcPr>
            <w:tcW w:w="2952" w:type="dxa"/>
          </w:tcPr>
          <w:p w:rsidR="005E30BD" w:rsidRDefault="005E30BD" w:rsidP="00225350">
            <w:pPr>
              <w:jc w:val="center"/>
            </w:pPr>
            <w:r>
              <w:t>Turbidity Calibration Values (NTU)</w:t>
            </w:r>
          </w:p>
        </w:tc>
        <w:tc>
          <w:tcPr>
            <w:tcW w:w="2952" w:type="dxa"/>
          </w:tcPr>
          <w:p w:rsidR="005E30BD" w:rsidRDefault="005E30BD" w:rsidP="00225350">
            <w:pPr>
              <w:jc w:val="center"/>
            </w:pPr>
            <w:r>
              <w:t>Corresponding Depth (cm) – “AguaClara” Letters</w:t>
            </w:r>
          </w:p>
        </w:tc>
      </w:tr>
      <w:tr w:rsidR="005E30BD" w:rsidTr="00225350">
        <w:tc>
          <w:tcPr>
            <w:tcW w:w="2952" w:type="dxa"/>
          </w:tcPr>
          <w:p w:rsidR="005E30BD" w:rsidRDefault="005E30BD" w:rsidP="00225350">
            <w:r>
              <w:t>5</w:t>
            </w:r>
          </w:p>
        </w:tc>
        <w:tc>
          <w:tcPr>
            <w:tcW w:w="2952" w:type="dxa"/>
          </w:tcPr>
          <w:p w:rsidR="005E30BD" w:rsidRDefault="005E30BD" w:rsidP="00225350">
            <w:r>
              <w:t>60.00</w:t>
            </w:r>
          </w:p>
        </w:tc>
      </w:tr>
      <w:tr w:rsidR="005E30BD" w:rsidTr="00225350">
        <w:tc>
          <w:tcPr>
            <w:tcW w:w="2952" w:type="dxa"/>
          </w:tcPr>
          <w:p w:rsidR="005E30BD" w:rsidRDefault="005E30BD" w:rsidP="00225350">
            <w:r>
              <w:t>7</w:t>
            </w:r>
          </w:p>
        </w:tc>
        <w:tc>
          <w:tcPr>
            <w:tcW w:w="2952" w:type="dxa"/>
          </w:tcPr>
          <w:p w:rsidR="005E30BD" w:rsidRDefault="005E30BD" w:rsidP="00225350">
            <w:r>
              <w:t>49.73</w:t>
            </w:r>
          </w:p>
        </w:tc>
      </w:tr>
      <w:tr w:rsidR="005E30BD" w:rsidTr="00225350">
        <w:tc>
          <w:tcPr>
            <w:tcW w:w="2952" w:type="dxa"/>
          </w:tcPr>
          <w:p w:rsidR="005E30BD" w:rsidRDefault="005E30BD" w:rsidP="00225350">
            <w:r>
              <w:t>10</w:t>
            </w:r>
          </w:p>
        </w:tc>
        <w:tc>
          <w:tcPr>
            <w:tcW w:w="2952" w:type="dxa"/>
          </w:tcPr>
          <w:p w:rsidR="005E30BD" w:rsidRDefault="005E30BD" w:rsidP="00225350">
            <w:r>
              <w:t>40.75</w:t>
            </w:r>
          </w:p>
        </w:tc>
      </w:tr>
      <w:tr w:rsidR="005E30BD" w:rsidTr="00225350">
        <w:tc>
          <w:tcPr>
            <w:tcW w:w="2952" w:type="dxa"/>
          </w:tcPr>
          <w:p w:rsidR="005E30BD" w:rsidRDefault="005E30BD" w:rsidP="00225350">
            <w:r>
              <w:t>15</w:t>
            </w:r>
          </w:p>
        </w:tc>
        <w:tc>
          <w:tcPr>
            <w:tcW w:w="2952" w:type="dxa"/>
          </w:tcPr>
          <w:p w:rsidR="005E30BD" w:rsidRDefault="005E30BD" w:rsidP="00225350">
            <w:r>
              <w:t>32.50</w:t>
            </w:r>
          </w:p>
        </w:tc>
      </w:tr>
      <w:tr w:rsidR="005E30BD" w:rsidTr="00225350">
        <w:tc>
          <w:tcPr>
            <w:tcW w:w="2952" w:type="dxa"/>
          </w:tcPr>
          <w:p w:rsidR="005E30BD" w:rsidRDefault="005E30BD" w:rsidP="00225350">
            <w:r>
              <w:t>20</w:t>
            </w:r>
          </w:p>
        </w:tc>
        <w:tc>
          <w:tcPr>
            <w:tcW w:w="2952" w:type="dxa"/>
          </w:tcPr>
          <w:p w:rsidR="005E30BD" w:rsidRDefault="005E30BD" w:rsidP="00225350">
            <w:r>
              <w:t>27.68</w:t>
            </w:r>
          </w:p>
        </w:tc>
      </w:tr>
      <w:tr w:rsidR="005E30BD" w:rsidTr="00225350">
        <w:tc>
          <w:tcPr>
            <w:tcW w:w="2952" w:type="dxa"/>
          </w:tcPr>
          <w:p w:rsidR="005E30BD" w:rsidRDefault="005E30BD" w:rsidP="00225350">
            <w:r>
              <w:t>30</w:t>
            </w:r>
          </w:p>
        </w:tc>
        <w:tc>
          <w:tcPr>
            <w:tcW w:w="2952" w:type="dxa"/>
          </w:tcPr>
          <w:p w:rsidR="005E30BD" w:rsidRDefault="005E30BD" w:rsidP="00225350">
            <w:r>
              <w:t>22.08</w:t>
            </w:r>
          </w:p>
        </w:tc>
      </w:tr>
      <w:tr w:rsidR="005E30BD" w:rsidTr="00225350">
        <w:tc>
          <w:tcPr>
            <w:tcW w:w="2952" w:type="dxa"/>
          </w:tcPr>
          <w:p w:rsidR="005E30BD" w:rsidRDefault="005E30BD" w:rsidP="00225350">
            <w:r>
              <w:t>40</w:t>
            </w:r>
          </w:p>
        </w:tc>
        <w:tc>
          <w:tcPr>
            <w:tcW w:w="2952" w:type="dxa"/>
          </w:tcPr>
          <w:p w:rsidR="005E30BD" w:rsidRDefault="005E30BD" w:rsidP="00225350">
            <w:r>
              <w:t>18.80</w:t>
            </w:r>
          </w:p>
        </w:tc>
      </w:tr>
      <w:tr w:rsidR="005E30BD" w:rsidTr="00225350">
        <w:tc>
          <w:tcPr>
            <w:tcW w:w="2952" w:type="dxa"/>
          </w:tcPr>
          <w:p w:rsidR="005E30BD" w:rsidRDefault="005E30BD" w:rsidP="00225350">
            <w:r>
              <w:t>50</w:t>
            </w:r>
          </w:p>
        </w:tc>
        <w:tc>
          <w:tcPr>
            <w:tcW w:w="2952" w:type="dxa"/>
          </w:tcPr>
          <w:p w:rsidR="005E30BD" w:rsidRDefault="005E30BD" w:rsidP="00225350">
            <w:r>
              <w:t>16.60</w:t>
            </w:r>
          </w:p>
        </w:tc>
      </w:tr>
      <w:tr w:rsidR="005E30BD" w:rsidTr="00225350">
        <w:tc>
          <w:tcPr>
            <w:tcW w:w="2952" w:type="dxa"/>
          </w:tcPr>
          <w:p w:rsidR="005E30BD" w:rsidRDefault="005E30BD" w:rsidP="00225350">
            <w:r>
              <w:t>70</w:t>
            </w:r>
          </w:p>
        </w:tc>
        <w:tc>
          <w:tcPr>
            <w:tcW w:w="2952" w:type="dxa"/>
          </w:tcPr>
          <w:p w:rsidR="005E30BD" w:rsidRDefault="005E30BD" w:rsidP="00225350">
            <w:r>
              <w:t>13.76</w:t>
            </w:r>
          </w:p>
        </w:tc>
      </w:tr>
      <w:tr w:rsidR="005E30BD" w:rsidTr="00225350">
        <w:tc>
          <w:tcPr>
            <w:tcW w:w="2952" w:type="dxa"/>
          </w:tcPr>
          <w:p w:rsidR="005E30BD" w:rsidRDefault="005E30BD" w:rsidP="00225350">
            <w:r>
              <w:t>100</w:t>
            </w:r>
          </w:p>
        </w:tc>
        <w:tc>
          <w:tcPr>
            <w:tcW w:w="2952" w:type="dxa"/>
          </w:tcPr>
          <w:p w:rsidR="005E30BD" w:rsidRDefault="005E30BD" w:rsidP="00225350">
            <w:r>
              <w:t>11.28</w:t>
            </w:r>
          </w:p>
        </w:tc>
      </w:tr>
      <w:tr w:rsidR="005E30BD" w:rsidTr="00225350">
        <w:tc>
          <w:tcPr>
            <w:tcW w:w="2952" w:type="dxa"/>
          </w:tcPr>
          <w:p w:rsidR="005E30BD" w:rsidRDefault="005E30BD" w:rsidP="00225350">
            <w:r>
              <w:t>150</w:t>
            </w:r>
          </w:p>
        </w:tc>
        <w:tc>
          <w:tcPr>
            <w:tcW w:w="2952" w:type="dxa"/>
          </w:tcPr>
          <w:p w:rsidR="005E30BD" w:rsidRDefault="005E30BD" w:rsidP="00225350">
            <w:r>
              <w:t>8.99</w:t>
            </w:r>
          </w:p>
        </w:tc>
      </w:tr>
      <w:tr w:rsidR="005E30BD" w:rsidTr="00225350">
        <w:tc>
          <w:tcPr>
            <w:tcW w:w="2952" w:type="dxa"/>
          </w:tcPr>
          <w:p w:rsidR="005E30BD" w:rsidRDefault="005E30BD" w:rsidP="00225350">
            <w:r>
              <w:t>200</w:t>
            </w:r>
          </w:p>
        </w:tc>
        <w:tc>
          <w:tcPr>
            <w:tcW w:w="2952" w:type="dxa"/>
          </w:tcPr>
          <w:p w:rsidR="005E30BD" w:rsidRDefault="005E30BD" w:rsidP="00225350">
            <w:r>
              <w:t>7.66</w:t>
            </w:r>
          </w:p>
        </w:tc>
      </w:tr>
    </w:tbl>
    <w:p w:rsidR="00000000" w:rsidRDefault="00F10866">
      <w:pPr>
        <w:pStyle w:val="Body"/>
        <w:spacing w:line="480" w:lineRule="auto"/>
      </w:pPr>
      <w:r w:rsidRPr="003A2AB0">
        <w:rPr>
          <w:rFonts w:ascii="Times New Roman" w:hAnsi="Times New Roman"/>
          <w:b/>
          <w:i/>
          <w:sz w:val="28"/>
          <w:szCs w:val="28"/>
        </w:rPr>
        <w:t>Future Work</w:t>
      </w:r>
    </w:p>
    <w:p w:rsidR="00000000" w:rsidRDefault="00F10866">
      <w:pPr>
        <w:pStyle w:val="Heading3"/>
      </w:pPr>
      <w:r w:rsidRPr="00AF08AA">
        <w:t xml:space="preserve">Test the accuracy of the turbidity </w:t>
      </w:r>
      <w:r w:rsidR="00DD6C13">
        <w:t>scale.</w:t>
      </w:r>
    </w:p>
    <w:p w:rsidR="00000000" w:rsidRDefault="00F10866">
      <w:pPr>
        <w:pStyle w:val="indent"/>
      </w:pPr>
      <w:r w:rsidRPr="00AF08AA">
        <w:t>Since the relationship between turbidity and depth is confirmed, the team will attempt to test the accuracy of this relationship by simulating measurements as would be done "in the field". The team will perform turbidity measurements with the prototype using a test sample that was not used in the prototype's calibration. These results can then be compared to generate an idea of the accuracy of each prototypes turbidity scale. Part of our goal is developing &gt;50% accuracy. The error found between the two methods of measurements will help the team decide whether different prototypes</w:t>
      </w:r>
      <w:r w:rsidR="00380AB2">
        <w:t xml:space="preserve"> or a different scale</w:t>
      </w:r>
      <w:r w:rsidRPr="00AF08AA">
        <w:t xml:space="preserve"> will need to be considered for greater accuracy. Additionally, it will give the team a basis of judgment between the designs parameters of cost and accuracy for the various prototypes.</w:t>
      </w:r>
    </w:p>
    <w:p w:rsidR="00000000" w:rsidRDefault="00702A59">
      <w:pPr>
        <w:pStyle w:val="Heading3"/>
      </w:pPr>
      <w:r>
        <w:lastRenderedPageBreak/>
        <w:t>P</w:t>
      </w:r>
      <w:r w:rsidR="00F10866" w:rsidRPr="00AF08AA">
        <w:t>ossible sources of operator error</w:t>
      </w:r>
    </w:p>
    <w:p w:rsidR="00000000" w:rsidRDefault="00F10866">
      <w:pPr>
        <w:pStyle w:val="indent"/>
      </w:pPr>
      <w:r w:rsidRPr="00AF08AA">
        <w:t xml:space="preserve">In constructing the </w:t>
      </w:r>
      <w:proofErr w:type="spellStart"/>
      <w:r w:rsidRPr="00AF08AA">
        <w:t>turbidimeter</w:t>
      </w:r>
      <w:proofErr w:type="spellEnd"/>
      <w:r w:rsidRPr="00AF08AA">
        <w:t>, the team tried to predict and eliminate sources of error that might take place in the field due to small variations in operator and operator handling techniques. Variable eyesight among operators and the effect of settling due</w:t>
      </w:r>
      <w:r w:rsidR="00380AB2">
        <w:t xml:space="preserve"> to</w:t>
      </w:r>
      <w:r w:rsidRPr="00AF08AA">
        <w:t xml:space="preserve"> the time-delay between acquiring the sample and taking the actual turbidity measurement were identified are two possible sources of error. To resolve the issue of operator eyesight, the team will take depth readings from a large sample of people. Each person will be administered a simple eye test (ability to read certain text at a distance of 1 m). From this data the team should be able to set a vision threshold for the operator of the </w:t>
      </w:r>
      <w:proofErr w:type="spellStart"/>
      <w:r w:rsidRPr="00AF08AA">
        <w:t>turbidimeter</w:t>
      </w:r>
      <w:proofErr w:type="spellEnd"/>
      <w:r w:rsidRPr="00AF08AA">
        <w:t>. The team plans to resolve the issue of solids settling by ensuring the LED light and rod component is capable of mixing the water sample through a manual, basic up and down movement. Furthermore, we plan to include simple operator instructions of how to use the measuring rod as a mixing device prior to taking the measurement.</w:t>
      </w:r>
    </w:p>
    <w:p w:rsidR="00000000" w:rsidRDefault="00F10866">
      <w:pPr>
        <w:pStyle w:val="Heading3"/>
      </w:pPr>
      <w:r w:rsidRPr="00AF08AA">
        <w:t xml:space="preserve"> Standardize materials used in the final design</w:t>
      </w:r>
    </w:p>
    <w:p w:rsidR="00000000" w:rsidRDefault="00F10866">
      <w:pPr>
        <w:pStyle w:val="indent"/>
      </w:pPr>
      <w:r w:rsidRPr="00AF08AA">
        <w:t xml:space="preserve">Once the Turbidity Team has completed its research, design, and testing phases, the team will decide on a recommendation for the standardized construction of the </w:t>
      </w:r>
      <w:proofErr w:type="spellStart"/>
      <w:r w:rsidRPr="00AF08AA">
        <w:t>turbidimeter</w:t>
      </w:r>
      <w:proofErr w:type="spellEnd"/>
      <w:r w:rsidRPr="00AF08AA">
        <w:t xml:space="preserve">. This decision will take into consideration turbidity measurement ranges, accuracy, ease of handling, and cost-effectiveness. The team will also strive to keep the construction parts at a minimum (only the </w:t>
      </w:r>
      <w:r w:rsidR="005C3A89">
        <w:t>pipe</w:t>
      </w:r>
      <w:r w:rsidRPr="00AF08AA">
        <w:t>, LED,</w:t>
      </w:r>
      <w:r w:rsidR="005C3A89">
        <w:t xml:space="preserve"> LED display,</w:t>
      </w:r>
      <w:r w:rsidRPr="00AF08AA">
        <w:t xml:space="preserve"> and pre-labeled </w:t>
      </w:r>
      <w:r w:rsidR="005C3A89">
        <w:t>scale connected to the LED</w:t>
      </w:r>
      <w:r w:rsidRPr="00AF08AA">
        <w:t xml:space="preserve"> should be necessary). Prior to use in the field, the </w:t>
      </w:r>
      <w:r w:rsidR="005C3A89">
        <w:t>scale</w:t>
      </w:r>
      <w:r w:rsidRPr="00AF08AA">
        <w:t xml:space="preserve"> will be calibrated and labeled at regular intervals with turbidity measurements rather than depth measurements.</w:t>
      </w:r>
      <w:r w:rsidR="00380AB2">
        <w:t xml:space="preserve"> </w:t>
      </w:r>
      <w:r w:rsidR="00C6437E" w:rsidRPr="00AF08AA">
        <w:t xml:space="preserve">This eliminates the need for the operator to perform a conversion from </w:t>
      </w:r>
      <w:r w:rsidR="00C6437E" w:rsidRPr="00AF08AA">
        <w:lastRenderedPageBreak/>
        <w:t>depth to turbidity each measurement, reducing this potential source of error.</w:t>
      </w:r>
      <w:r w:rsidR="00C6437E">
        <w:t xml:space="preserve"> </w:t>
      </w:r>
      <w:r w:rsidR="00380AB2">
        <w:t>Once the scale is determined, the team plans to create a sticker of the scale that will be placed on the lowering device. The team needs to choose a lowering device that is thin but rigid</w:t>
      </w:r>
      <w:r w:rsidR="00C6437E">
        <w:t xml:space="preserve">. The lowering device must also </w:t>
      </w:r>
      <w:r w:rsidR="00915E13">
        <w:t xml:space="preserve">provide a surface to attach </w:t>
      </w:r>
      <w:r w:rsidR="00C6437E">
        <w:t>the scale.</w:t>
      </w:r>
      <w:r w:rsidRPr="00AF08AA">
        <w:t xml:space="preserve"> </w:t>
      </w:r>
    </w:p>
    <w:p w:rsidR="00F10866" w:rsidRPr="00AF08AA" w:rsidRDefault="00F10866" w:rsidP="00F10866">
      <w:pPr>
        <w:spacing w:line="360" w:lineRule="auto"/>
        <w:rPr>
          <w:color w:val="000000"/>
        </w:rPr>
      </w:pPr>
      <w:r w:rsidRPr="00AF08AA">
        <w:rPr>
          <w:color w:val="000000"/>
        </w:rPr>
        <w:t> </w:t>
      </w:r>
    </w:p>
    <w:p w:rsidR="00F10866" w:rsidRPr="00AF08AA" w:rsidRDefault="00F10866" w:rsidP="00F10866">
      <w:pPr>
        <w:spacing w:line="360" w:lineRule="auto"/>
        <w:rPr>
          <w:color w:val="000000"/>
        </w:rPr>
      </w:pPr>
    </w:p>
    <w:p w:rsidR="00F10866" w:rsidRPr="00AF08AA" w:rsidRDefault="00F10866" w:rsidP="00F10866">
      <w:pPr>
        <w:spacing w:line="360" w:lineRule="auto"/>
      </w:pPr>
    </w:p>
    <w:p w:rsidR="00D6643E" w:rsidRPr="00022DCA" w:rsidRDefault="00F10866" w:rsidP="008D19D8">
      <w:pPr>
        <w:pStyle w:val="Heading2"/>
        <w:rPr>
          <w:b/>
        </w:rPr>
      </w:pPr>
      <w:r w:rsidRPr="00AF08AA">
        <w:rPr>
          <w:sz w:val="24"/>
          <w:szCs w:val="24"/>
        </w:rPr>
        <w:br w:type="page"/>
      </w:r>
      <w:r w:rsidR="00B85D08" w:rsidRPr="00B85D08">
        <w:rPr>
          <w:b/>
        </w:rPr>
        <w:lastRenderedPageBreak/>
        <w:t>Team Reflections</w:t>
      </w:r>
    </w:p>
    <w:p w:rsidR="00F10866" w:rsidRPr="00AC09C0" w:rsidRDefault="00F10866" w:rsidP="00BA65DA">
      <w:pPr>
        <w:pStyle w:val="indent"/>
        <w:rPr>
          <w:szCs w:val="24"/>
        </w:rPr>
      </w:pPr>
      <w:r w:rsidRPr="00AC09C0">
        <w:rPr>
          <w:szCs w:val="24"/>
        </w:rPr>
        <w:t>The team’s first task was to create a prototype. The team ordered the submersible LED lights February 2</w:t>
      </w:r>
      <w:r w:rsidRPr="00AC09C0">
        <w:rPr>
          <w:szCs w:val="24"/>
          <w:vertAlign w:val="superscript"/>
        </w:rPr>
        <w:t>nd</w:t>
      </w:r>
      <w:r w:rsidRPr="00AC09C0">
        <w:rPr>
          <w:szCs w:val="24"/>
        </w:rPr>
        <w:t>. Unfortunately, we did not receive the LED’s until February 13</w:t>
      </w:r>
      <w:r w:rsidRPr="00AC09C0">
        <w:rPr>
          <w:szCs w:val="24"/>
          <w:vertAlign w:val="superscript"/>
        </w:rPr>
        <w:t>th</w:t>
      </w:r>
      <w:r w:rsidRPr="00AC09C0">
        <w:rPr>
          <w:szCs w:val="24"/>
        </w:rPr>
        <w:t xml:space="preserve">. While waiting for the LED lights to arrive, the team tried to stay efficient by preparing the other parts of the prototype, which included locating the PVC pipe for the prototype. There was not much else to accomplish until the LED lights arrived, so this slightly delayed our start, although we tried to fill the time with planning and brainstorming ideas for future prototypes. Once the LED lights arrived, the team noticed that they were blindingly bright. Because the LED brightness was not expected, this presented another complication. To dim the light, a ping pong ball was placed over the LED light, which worked surprisingly well. </w:t>
      </w:r>
      <w:r w:rsidRPr="00AC09C0">
        <w:rPr>
          <w:color w:val="000000"/>
          <w:szCs w:val="24"/>
        </w:rPr>
        <w:t>Since a single battery can be used to power the LED, the final design will take advantage of this, and the ping pong ball may not need to be used. A single black stripe placed on the flat surface of a clear container covering the LED (as the ping pong ball originally covered it) will then suffice as the pattern to be distinguished.</w:t>
      </w:r>
    </w:p>
    <w:p w:rsidR="00000000" w:rsidRDefault="00F10866">
      <w:pPr>
        <w:pStyle w:val="indent"/>
      </w:pPr>
      <w:r w:rsidRPr="00AC09C0">
        <w:t xml:space="preserve">With the new calibration samples in, the team was able to gather the turbidity readings seen in the Results and Discussion section. However, the relationship between kaolin clay concentration and turbidity is not as trivial as 1 mg clay/L = 1 NTU. One problem still faced when using the portable </w:t>
      </w:r>
      <w:proofErr w:type="spellStart"/>
      <w:r w:rsidRPr="00AC09C0">
        <w:t>nephelometer</w:t>
      </w:r>
      <w:proofErr w:type="spellEnd"/>
      <w:r w:rsidRPr="00AC09C0">
        <w:t xml:space="preserve"> is the settling of clay particles within the measurement container. Water samples are taken from the </w:t>
      </w:r>
      <w:proofErr w:type="spellStart"/>
      <w:r w:rsidRPr="00AC09C0">
        <w:t>turbidimeter</w:t>
      </w:r>
      <w:proofErr w:type="spellEnd"/>
      <w:r w:rsidRPr="00AC09C0">
        <w:t xml:space="preserve"> tube immediately after mixing the contents of the tube. The sample container is then cleaned and shaken again to keep the particles in suspension for the portable </w:t>
      </w:r>
      <w:proofErr w:type="spellStart"/>
      <w:r w:rsidRPr="00AC09C0">
        <w:t>nephelometer</w:t>
      </w:r>
      <w:proofErr w:type="spellEnd"/>
      <w:r w:rsidRPr="00AC09C0">
        <w:t xml:space="preserve"> measurement. However, even after the sample container is placed in the portable </w:t>
      </w:r>
      <w:proofErr w:type="spellStart"/>
      <w:r w:rsidRPr="00AC09C0">
        <w:lastRenderedPageBreak/>
        <w:t>nephelometer</w:t>
      </w:r>
      <w:proofErr w:type="spellEnd"/>
      <w:r w:rsidRPr="00AC09C0">
        <w:t xml:space="preserve">, the sample has to been indexed before the measurement is taken and there is a small time delay before a turbidity reading is actually shown on the </w:t>
      </w:r>
      <w:proofErr w:type="spellStart"/>
      <w:r w:rsidRPr="00AC09C0">
        <w:t>nephelometer</w:t>
      </w:r>
      <w:proofErr w:type="spellEnd"/>
      <w:r w:rsidRPr="00AC09C0">
        <w:t xml:space="preserve">. This time delay could be significant enough for some of the clay particles to settle in the measurement container. Support for this comes from the fact that sometimes the portable </w:t>
      </w:r>
      <w:proofErr w:type="spellStart"/>
      <w:r w:rsidRPr="00AC09C0">
        <w:t>nephelometer</w:t>
      </w:r>
      <w:proofErr w:type="spellEnd"/>
      <w:r w:rsidRPr="00AC09C0">
        <w:t xml:space="preserve"> will give lower turbidity readings even after an increase in the clay concentration of the water in the </w:t>
      </w:r>
      <w:proofErr w:type="spellStart"/>
      <w:r w:rsidRPr="00AC09C0">
        <w:t>turbidimeter</w:t>
      </w:r>
      <w:proofErr w:type="spellEnd"/>
      <w:r w:rsidRPr="00AC09C0">
        <w:t xml:space="preserve"> tube. </w:t>
      </w:r>
    </w:p>
    <w:p w:rsidR="00000000" w:rsidRDefault="00F10866">
      <w:pPr>
        <w:pStyle w:val="indent"/>
      </w:pPr>
      <w:r w:rsidRPr="00AC09C0">
        <w:t xml:space="preserve">The team has continued collecting data as shown in the Results and Discussion, using the portable </w:t>
      </w:r>
      <w:proofErr w:type="spellStart"/>
      <w:r w:rsidRPr="00AC09C0">
        <w:t>nephelometer</w:t>
      </w:r>
      <w:proofErr w:type="spellEnd"/>
      <w:r w:rsidRPr="00AC09C0">
        <w:t xml:space="preserve"> that was calibrated with new calibration standards. It is clear that a power-law relationship can be fit to the data obtained. In the following weeks, the standardized materials for our </w:t>
      </w:r>
      <w:proofErr w:type="spellStart"/>
      <w:r w:rsidRPr="00AC09C0">
        <w:t>turbidimeter</w:t>
      </w:r>
      <w:proofErr w:type="spellEnd"/>
      <w:r w:rsidRPr="00AC09C0">
        <w:t xml:space="preserve"> will be confirmed, and the necessary materials for the construction of at least three turbidimeters will be ordered. This will allow the three team members to run experiments with the final design simultaneously. The results from this data will allow us to decide on a power-law equation (with constants) that best fits most of the data obtained using the final design. The only concern that remains is the accuracy of the turbidity readings given by the portable </w:t>
      </w:r>
      <w:proofErr w:type="spellStart"/>
      <w:r w:rsidRPr="00AC09C0">
        <w:t>nephelometer</w:t>
      </w:r>
      <w:proofErr w:type="spellEnd"/>
      <w:r w:rsidRPr="00AC09C0">
        <w:t xml:space="preserve"> because of the aforementioned reasons. These readings will be essential to determining the equation that can be accurately used with the standardized components. These will also be the readings used to incrementally label the LED-lowering component of the final design, so the team must be sure that these are accurate turbidity readings.</w:t>
      </w:r>
    </w:p>
    <w:p w:rsidR="00005BBD" w:rsidRDefault="00005BBD" w:rsidP="00BA65DA">
      <w:pPr>
        <w:pStyle w:val="indent"/>
        <w:rPr>
          <w:szCs w:val="24"/>
        </w:rPr>
      </w:pPr>
      <w:r>
        <w:rPr>
          <w:szCs w:val="24"/>
        </w:rPr>
        <w:t>After Spring Break, the team o</w:t>
      </w:r>
      <w:r w:rsidR="001A1C37">
        <w:rPr>
          <w:szCs w:val="24"/>
        </w:rPr>
        <w:t xml:space="preserve">rdered parts </w:t>
      </w:r>
      <w:r>
        <w:rPr>
          <w:szCs w:val="24"/>
        </w:rPr>
        <w:t>to make two more turbidimeters. The team currently has 3 working turbidimeters each of different heights. The team is still contemplating what to use as our lowering rod</w:t>
      </w:r>
      <w:r w:rsidR="005C3A89">
        <w:rPr>
          <w:szCs w:val="24"/>
        </w:rPr>
        <w:t xml:space="preserve"> and scale</w:t>
      </w:r>
      <w:r>
        <w:rPr>
          <w:szCs w:val="24"/>
        </w:rPr>
        <w:t xml:space="preserve">. Currently a meter stick and a tape measure are being used. The team believes the best option would be a standard metal </w:t>
      </w:r>
      <w:r>
        <w:rPr>
          <w:szCs w:val="24"/>
        </w:rPr>
        <w:lastRenderedPageBreak/>
        <w:t xml:space="preserve">rod that wouldn’t displace too much water and is taller than the tube.  A sticker of the turbidity scale </w:t>
      </w:r>
      <w:proofErr w:type="gramStart"/>
      <w:r>
        <w:rPr>
          <w:szCs w:val="24"/>
        </w:rPr>
        <w:t>must  be</w:t>
      </w:r>
      <w:proofErr w:type="gramEnd"/>
      <w:r>
        <w:rPr>
          <w:szCs w:val="24"/>
        </w:rPr>
        <w:t xml:space="preserve"> able to be attached to this rod.  The team has also come up with a new design for the LED. The LED light is covered with a cylindrical opaque material. This material dims the light as well as </w:t>
      </w:r>
      <w:r w:rsidR="00D73F11">
        <w:rPr>
          <w:szCs w:val="24"/>
        </w:rPr>
        <w:t xml:space="preserve">provides a flat surface for the pattern. The team came up with a new pattern. The pattern is a bold black line across the middle of the dimming material and the words “Agua” in fine print closer to the top. The fine “Agua” print will allow for lower turbidity measurements and the bold line will allow for higher turbidity measurements.  </w:t>
      </w:r>
      <w:r>
        <w:rPr>
          <w:szCs w:val="24"/>
        </w:rPr>
        <w:t xml:space="preserve"> </w:t>
      </w:r>
    </w:p>
    <w:p w:rsidR="004D1FD2" w:rsidRDefault="00B85D08" w:rsidP="008D19D8">
      <w:pPr>
        <w:pStyle w:val="indent"/>
      </w:pPr>
      <w:r w:rsidRPr="00B85D08">
        <w:rPr>
          <w:rStyle w:val="apple-style-span"/>
        </w:rPr>
        <w:t>Recently</w:t>
      </w:r>
      <w:r w:rsidR="00D73F11">
        <w:rPr>
          <w:rStyle w:val="apple-style-span"/>
          <w:color w:val="000000"/>
        </w:rPr>
        <w:t>, the team has decided to evaluate the method of mixing the clay and water used to obtain measurements in the lab. The team believes that the current mixing method does not mix well enough to mimic the well mixed turbidity of a river or stream. The team believes that this creates an unwanted source of error. Also</w:t>
      </w:r>
      <w:r w:rsidR="0001115A">
        <w:rPr>
          <w:rStyle w:val="apple-style-span"/>
          <w:color w:val="000000"/>
        </w:rPr>
        <w:t xml:space="preserve">, </w:t>
      </w:r>
      <w:r w:rsidR="00D73F11">
        <w:rPr>
          <w:rStyle w:val="apple-style-span"/>
          <w:color w:val="000000"/>
        </w:rPr>
        <w:t xml:space="preserve">the team believes that there is an additional source of error using the portable </w:t>
      </w:r>
      <w:proofErr w:type="spellStart"/>
      <w:r w:rsidR="00D73F11">
        <w:rPr>
          <w:rStyle w:val="apple-style-span"/>
          <w:color w:val="000000"/>
        </w:rPr>
        <w:t>turbidimeter</w:t>
      </w:r>
      <w:proofErr w:type="spellEnd"/>
      <w:r w:rsidR="00D73F11">
        <w:rPr>
          <w:rStyle w:val="apple-style-span"/>
          <w:color w:val="000000"/>
        </w:rPr>
        <w:t xml:space="preserve">. The team has reason to believe that the portable </w:t>
      </w:r>
      <w:proofErr w:type="spellStart"/>
      <w:r w:rsidR="00D73F11">
        <w:rPr>
          <w:rStyle w:val="apple-style-span"/>
          <w:color w:val="000000"/>
        </w:rPr>
        <w:t>turbidimeter</w:t>
      </w:r>
      <w:proofErr w:type="spellEnd"/>
      <w:r w:rsidR="00D73F11">
        <w:rPr>
          <w:rStyle w:val="apple-style-span"/>
          <w:color w:val="000000"/>
        </w:rPr>
        <w:t xml:space="preserve"> is not accurate enough. Therefore, the team discussed creating a </w:t>
      </w:r>
      <w:r w:rsidR="00D73F11">
        <w:t xml:space="preserve">constant flow setup in the lab that will constantly mix the water as well as be connected to a flow-through </w:t>
      </w:r>
      <w:proofErr w:type="spellStart"/>
      <w:r w:rsidR="00D73F11">
        <w:t>turbidimeter</w:t>
      </w:r>
      <w:proofErr w:type="spellEnd"/>
      <w:r w:rsidR="00D73F11">
        <w:t xml:space="preserve">. This would help reduce </w:t>
      </w:r>
      <w:r w:rsidR="00D70486">
        <w:t xml:space="preserve">the error that the team is getting from the portable </w:t>
      </w:r>
      <w:proofErr w:type="spellStart"/>
      <w:r w:rsidR="00D70486">
        <w:t>turbidimeter</w:t>
      </w:r>
      <w:proofErr w:type="spellEnd"/>
      <w:r w:rsidR="00D70486">
        <w:t xml:space="preserve"> and the current mixing method.</w:t>
      </w:r>
    </w:p>
    <w:p w:rsidR="00D73F11" w:rsidRDefault="00D70486" w:rsidP="00BA65DA">
      <w:pPr>
        <w:pStyle w:val="indent"/>
        <w:rPr>
          <w:color w:val="000000"/>
        </w:rPr>
      </w:pPr>
      <w:r>
        <w:rPr>
          <w:color w:val="000000"/>
        </w:rPr>
        <w:t xml:space="preserve"> </w:t>
      </w:r>
      <w:r w:rsidR="00A11000">
        <w:rPr>
          <w:color w:val="000000"/>
        </w:rPr>
        <w:t xml:space="preserve">The past two weeks the team has focused on setting up a method to keep the water in the </w:t>
      </w:r>
      <w:proofErr w:type="spellStart"/>
      <w:r w:rsidR="00A11000">
        <w:rPr>
          <w:color w:val="000000"/>
        </w:rPr>
        <w:t>turbidimeter</w:t>
      </w:r>
      <w:proofErr w:type="spellEnd"/>
      <w:r w:rsidR="00A11000">
        <w:rPr>
          <w:color w:val="000000"/>
        </w:rPr>
        <w:t xml:space="preserve"> constantly mixing. The first task was to fabricate the tube so that water could be pumped into the top and out of the bottom</w:t>
      </w:r>
      <w:r w:rsidR="00C65D07">
        <w:rPr>
          <w:color w:val="000000"/>
        </w:rPr>
        <w:t xml:space="preserve"> of the tube</w:t>
      </w:r>
      <w:r w:rsidR="00A11000">
        <w:rPr>
          <w:color w:val="000000"/>
        </w:rPr>
        <w:t xml:space="preserve">. With help from Paul Charles in the CEE machine shop, </w:t>
      </w:r>
      <w:r w:rsidR="00BE7D00">
        <w:rPr>
          <w:color w:val="000000"/>
        </w:rPr>
        <w:t>the team was</w:t>
      </w:r>
      <w:r w:rsidR="00A11000">
        <w:rPr>
          <w:color w:val="000000"/>
        </w:rPr>
        <w:t xml:space="preserve"> able to accomplish this the first day. Nex</w:t>
      </w:r>
      <w:r w:rsidR="00BE7D00">
        <w:rPr>
          <w:color w:val="000000"/>
        </w:rPr>
        <w:t xml:space="preserve">t step was to connect the </w:t>
      </w:r>
      <w:proofErr w:type="spellStart"/>
      <w:r w:rsidR="00BE7D00">
        <w:rPr>
          <w:color w:val="000000"/>
        </w:rPr>
        <w:t>turbidimeter</w:t>
      </w:r>
      <w:proofErr w:type="spellEnd"/>
      <w:r w:rsidR="00BE7D00">
        <w:rPr>
          <w:color w:val="000000"/>
        </w:rPr>
        <w:t xml:space="preserve"> to the pump and the pump to the tube (see Figure 6)</w:t>
      </w:r>
      <w:r w:rsidR="00E95476">
        <w:rPr>
          <w:color w:val="000000"/>
        </w:rPr>
        <w:t xml:space="preserve">. The team discovered some faulty connections that led to leaking, but the team </w:t>
      </w:r>
      <w:r w:rsidR="00E95476">
        <w:rPr>
          <w:color w:val="000000"/>
        </w:rPr>
        <w:lastRenderedPageBreak/>
        <w:t xml:space="preserve">was able to quickly fix these leaks. The team was then able to run one test with the dual range </w:t>
      </w:r>
      <w:proofErr w:type="spellStart"/>
      <w:r w:rsidR="00E95476">
        <w:rPr>
          <w:color w:val="000000"/>
        </w:rPr>
        <w:t>turbidimeter</w:t>
      </w:r>
      <w:proofErr w:type="spellEnd"/>
      <w:r w:rsidR="004461BC">
        <w:rPr>
          <w:color w:val="000000"/>
        </w:rPr>
        <w:t xml:space="preserve">. It was found that the “AguaClara” letters were able to detect turbidity from about 3 – 300 NTU. Therefore, the team will need to determine whether the black line is necessary. </w:t>
      </w:r>
    </w:p>
    <w:p w:rsidR="009052C1" w:rsidRDefault="009052C1" w:rsidP="00BA65DA">
      <w:pPr>
        <w:pStyle w:val="indent"/>
        <w:rPr>
          <w:szCs w:val="24"/>
        </w:rPr>
      </w:pPr>
      <w:r>
        <w:rPr>
          <w:color w:val="000000"/>
        </w:rPr>
        <w:t>The team also needs to find a better lowering rod. Currently the lowering rod is a wood meter stick. The team tried to use a measuring tape but found that it was too flimsy. Therefore, the team needs to find a lowering rod that doesn’t displace too much water but is also rigid. The team has contemplated using PVC strip</w:t>
      </w:r>
      <w:r w:rsidR="00936655">
        <w:rPr>
          <w:color w:val="000000"/>
        </w:rPr>
        <w:t xml:space="preserve"> (found of McMaster-Carr)</w:t>
      </w:r>
      <w:r>
        <w:rPr>
          <w:color w:val="000000"/>
        </w:rPr>
        <w:t xml:space="preserve"> that is </w:t>
      </w:r>
      <w:r w:rsidR="00936655">
        <w:rPr>
          <w:color w:val="000000"/>
        </w:rPr>
        <w:t xml:space="preserve">1/8” thick and 1” wide and can be cut to whichever length needed. This material is inexpensive, should be rigid enough, and will be able to hold a sticker containing the scale. </w:t>
      </w:r>
    </w:p>
    <w:p w:rsidR="00A44D1C" w:rsidRDefault="00B85D08" w:rsidP="008D19D8">
      <w:pPr>
        <w:pStyle w:val="Heading2"/>
        <w:rPr>
          <w:rStyle w:val="apple-style-span"/>
          <w:bCs w:val="0"/>
          <w:iCs w:val="0"/>
          <w:sz w:val="24"/>
          <w:szCs w:val="24"/>
        </w:rPr>
      </w:pPr>
      <w:r w:rsidRPr="00B85D08">
        <w:rPr>
          <w:rStyle w:val="apple-style-span"/>
        </w:rPr>
        <w:t>References</w:t>
      </w:r>
    </w:p>
    <w:p w:rsidR="00A44D1C" w:rsidRDefault="00A44D1C" w:rsidP="002D4929">
      <w:pPr>
        <w:pStyle w:val="reference"/>
        <w:rPr>
          <w:rFonts w:eastAsia="Cambria"/>
          <w:i/>
          <w:iCs/>
          <w:lang w:bidi="ar-SA"/>
        </w:rPr>
      </w:pPr>
      <w:r>
        <w:rPr>
          <w:rFonts w:eastAsia="Cambria"/>
          <w:lang w:bidi="ar-SA"/>
        </w:rPr>
        <w:t xml:space="preserve">Ferrari, G.M., &amp; </w:t>
      </w:r>
      <w:proofErr w:type="spellStart"/>
      <w:r>
        <w:rPr>
          <w:rFonts w:eastAsia="Cambria"/>
          <w:lang w:bidi="ar-SA"/>
        </w:rPr>
        <w:t>Tassan</w:t>
      </w:r>
      <w:proofErr w:type="spellEnd"/>
      <w:r>
        <w:rPr>
          <w:rFonts w:eastAsia="Cambria"/>
          <w:lang w:bidi="ar-SA"/>
        </w:rPr>
        <w:t xml:space="preserve">, S. (2005, December 5). </w:t>
      </w:r>
      <w:proofErr w:type="gramStart"/>
      <w:r>
        <w:rPr>
          <w:rFonts w:eastAsia="Cambria"/>
          <w:lang w:bidi="ar-SA"/>
        </w:rPr>
        <w:t>Proposal for the measurement of backward and total scattering by mineral particles suspended in water.</w:t>
      </w:r>
      <w:proofErr w:type="gramEnd"/>
      <w:r>
        <w:rPr>
          <w:rFonts w:eastAsia="Cambria"/>
          <w:lang w:bidi="ar-SA"/>
        </w:rPr>
        <w:t xml:space="preserve"> </w:t>
      </w:r>
      <w:r>
        <w:rPr>
          <w:rFonts w:eastAsia="Cambria"/>
          <w:i/>
          <w:iCs/>
          <w:lang w:bidi="ar-SA"/>
        </w:rPr>
        <w:t>Applied Optics, 34 (36).</w:t>
      </w:r>
    </w:p>
    <w:p w:rsidR="002D4929" w:rsidRDefault="00A44D1C" w:rsidP="002D4929">
      <w:pPr>
        <w:pStyle w:val="reference"/>
      </w:pPr>
      <w:proofErr w:type="spellStart"/>
      <w:r>
        <w:rPr>
          <w:rFonts w:eastAsia="Cambria"/>
          <w:lang w:bidi="ar-SA"/>
        </w:rPr>
        <w:t>Myre</w:t>
      </w:r>
      <w:proofErr w:type="spellEnd"/>
      <w:r>
        <w:rPr>
          <w:rFonts w:eastAsia="Cambria"/>
          <w:lang w:bidi="ar-SA"/>
        </w:rPr>
        <w:t>, E., &amp; Shaw, R. (2006, April). The Turbidity Tube: Simple and Accurate Measurement of Turbidity in the Field. Michigan Technology University.</w:t>
      </w:r>
    </w:p>
    <w:sectPr w:rsidR="002D4929" w:rsidSect="00862BB6">
      <w:headerReference w:type="even" r:id="rId25"/>
      <w:headerReference w:type="default" r:id="rId26"/>
      <w:footerReference w:type="even" r:id="rId27"/>
      <w:footerReference w:type="default" r:id="rId28"/>
      <w:headerReference w:type="first" r:id="rId29"/>
      <w:footerReference w:type="first" r:id="rId30"/>
      <w:pgSz w:w="12240" w:h="15840"/>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C5285" w:rsidRDefault="00FC5285">
      <w:pPr>
        <w:spacing w:before="0"/>
      </w:pPr>
      <w:r>
        <w:separator/>
      </w:r>
    </w:p>
  </w:endnote>
  <w:endnote w:type="continuationSeparator" w:id="0">
    <w:p w:rsidR="00FC5285" w:rsidRDefault="00FC5285">
      <w:pPr>
        <w:spacing w:before="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ヒラギノ角ゴ Pro W3">
    <w:altName w:val="MS Mincho"/>
    <w:charset w:val="80"/>
    <w:family w:val="auto"/>
    <w:pitch w:val="variable"/>
    <w:sig w:usb0="01000000" w:usb1="00000000" w:usb2="07040001" w:usb3="00000000" w:csb0="00020000" w:csb1="00000000"/>
  </w:font>
  <w:font w:name="MS PGothic">
    <w:panose1 w:val="020B0600070205080204"/>
    <w:charset w:val="80"/>
    <w:family w:val="swiss"/>
    <w:pitch w:val="variable"/>
    <w:sig w:usb0="E00002FF" w:usb1="6AC7FDFB" w:usb2="00000012" w:usb3="00000000" w:csb0="0002009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5350" w:rsidRDefault="0022535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5350" w:rsidRDefault="00225350">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5350" w:rsidRDefault="0022535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C5285" w:rsidRDefault="00FC5285">
      <w:pPr>
        <w:spacing w:before="0"/>
      </w:pPr>
      <w:r>
        <w:separator/>
      </w:r>
    </w:p>
  </w:footnote>
  <w:footnote w:type="continuationSeparator" w:id="0">
    <w:p w:rsidR="00FC5285" w:rsidRDefault="00FC5285">
      <w:pPr>
        <w:spacing w:before="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5350" w:rsidRDefault="00225350">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5350" w:rsidRDefault="00225350">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5350" w:rsidRDefault="0022535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6CE862F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A8D43CDE"/>
    <w:lvl w:ilvl="0">
      <w:start w:val="1"/>
      <w:numFmt w:val="decimal"/>
      <w:lvlText w:val="%1."/>
      <w:lvlJc w:val="left"/>
      <w:pPr>
        <w:tabs>
          <w:tab w:val="num" w:pos="1800"/>
        </w:tabs>
        <w:ind w:left="1800" w:hanging="360"/>
      </w:pPr>
    </w:lvl>
  </w:abstractNum>
  <w:abstractNum w:abstractNumId="2">
    <w:nsid w:val="FFFFFF7D"/>
    <w:multiLevelType w:val="singleLevel"/>
    <w:tmpl w:val="32068834"/>
    <w:lvl w:ilvl="0">
      <w:start w:val="1"/>
      <w:numFmt w:val="decimal"/>
      <w:lvlText w:val="%1."/>
      <w:lvlJc w:val="left"/>
      <w:pPr>
        <w:tabs>
          <w:tab w:val="num" w:pos="1440"/>
        </w:tabs>
        <w:ind w:left="1440" w:hanging="360"/>
      </w:pPr>
    </w:lvl>
  </w:abstractNum>
  <w:abstractNum w:abstractNumId="3">
    <w:nsid w:val="FFFFFF7E"/>
    <w:multiLevelType w:val="singleLevel"/>
    <w:tmpl w:val="F2122C4A"/>
    <w:lvl w:ilvl="0">
      <w:start w:val="1"/>
      <w:numFmt w:val="decimal"/>
      <w:lvlText w:val="%1."/>
      <w:lvlJc w:val="left"/>
      <w:pPr>
        <w:tabs>
          <w:tab w:val="num" w:pos="1080"/>
        </w:tabs>
        <w:ind w:left="1080" w:hanging="360"/>
      </w:pPr>
    </w:lvl>
  </w:abstractNum>
  <w:abstractNum w:abstractNumId="4">
    <w:nsid w:val="FFFFFF7F"/>
    <w:multiLevelType w:val="singleLevel"/>
    <w:tmpl w:val="90E048C8"/>
    <w:lvl w:ilvl="0">
      <w:start w:val="1"/>
      <w:numFmt w:val="decimal"/>
      <w:lvlText w:val="%1."/>
      <w:lvlJc w:val="left"/>
      <w:pPr>
        <w:tabs>
          <w:tab w:val="num" w:pos="720"/>
        </w:tabs>
        <w:ind w:left="720" w:hanging="360"/>
      </w:pPr>
    </w:lvl>
  </w:abstractNum>
  <w:abstractNum w:abstractNumId="5">
    <w:nsid w:val="FFFFFF80"/>
    <w:multiLevelType w:val="singleLevel"/>
    <w:tmpl w:val="A490A568"/>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C3448220"/>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E550E03A"/>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B444340C"/>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0A560824"/>
    <w:lvl w:ilvl="0">
      <w:start w:val="1"/>
      <w:numFmt w:val="decimal"/>
      <w:lvlText w:val="%1."/>
      <w:lvlJc w:val="left"/>
      <w:pPr>
        <w:tabs>
          <w:tab w:val="num" w:pos="360"/>
        </w:tabs>
        <w:ind w:left="360" w:hanging="360"/>
      </w:pPr>
    </w:lvl>
  </w:abstractNum>
  <w:abstractNum w:abstractNumId="10">
    <w:nsid w:val="FFFFFF89"/>
    <w:multiLevelType w:val="singleLevel"/>
    <w:tmpl w:val="95CC1BD8"/>
    <w:lvl w:ilvl="0">
      <w:start w:val="1"/>
      <w:numFmt w:val="bullet"/>
      <w:lvlText w:val=""/>
      <w:lvlJc w:val="left"/>
      <w:pPr>
        <w:tabs>
          <w:tab w:val="num" w:pos="360"/>
        </w:tabs>
        <w:ind w:left="360" w:hanging="360"/>
      </w:pPr>
      <w:rPr>
        <w:rFonts w:ascii="Symbol" w:hAnsi="Symbol" w:hint="default"/>
      </w:rPr>
    </w:lvl>
  </w:abstractNum>
  <w:abstractNum w:abstractNumId="11">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18E5BBF"/>
    <w:multiLevelType w:val="hybridMultilevel"/>
    <w:tmpl w:val="FE746D8A"/>
    <w:lvl w:ilvl="0" w:tplc="C81C63CC">
      <w:start w:val="1"/>
      <w:numFmt w:val="decimal"/>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06EC3042"/>
    <w:multiLevelType w:val="hybridMultilevel"/>
    <w:tmpl w:val="C1AEA2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9BD246D"/>
    <w:multiLevelType w:val="hybridMultilevel"/>
    <w:tmpl w:val="01AA3CF6"/>
    <w:lvl w:ilvl="0" w:tplc="C81C63C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480473E8"/>
    <w:multiLevelType w:val="hybridMultilevel"/>
    <w:tmpl w:val="933C0B1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486D3CFF"/>
    <w:multiLevelType w:val="hybridMultilevel"/>
    <w:tmpl w:val="7972A68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95F1465"/>
    <w:multiLevelType w:val="hybridMultilevel"/>
    <w:tmpl w:val="79902E2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7805CAA"/>
    <w:multiLevelType w:val="hybridMultilevel"/>
    <w:tmpl w:val="691CC8DE"/>
    <w:lvl w:ilvl="0" w:tplc="04090001">
      <w:start w:val="13"/>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1604894"/>
    <w:multiLevelType w:val="hybridMultilevel"/>
    <w:tmpl w:val="6D086E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8"/>
  </w:num>
  <w:num w:numId="3">
    <w:abstractNumId w:val="15"/>
  </w:num>
  <w:num w:numId="4">
    <w:abstractNumId w:val="19"/>
  </w:num>
  <w:num w:numId="5">
    <w:abstractNumId w:val="13"/>
  </w:num>
  <w:num w:numId="6">
    <w:abstractNumId w:val="0"/>
  </w:num>
  <w:num w:numId="7">
    <w:abstractNumId w:val="11"/>
  </w:num>
  <w:num w:numId="8">
    <w:abstractNumId w:val="17"/>
  </w:num>
  <w:num w:numId="9">
    <w:abstractNumId w:val="14"/>
  </w:num>
  <w:num w:numId="10">
    <w:abstractNumId w:val="12"/>
  </w:num>
  <w:num w:numId="11">
    <w:abstractNumId w:val="10"/>
  </w:num>
  <w:num w:numId="12">
    <w:abstractNumId w:val="8"/>
  </w:num>
  <w:num w:numId="13">
    <w:abstractNumId w:val="7"/>
  </w:num>
  <w:num w:numId="14">
    <w:abstractNumId w:val="6"/>
  </w:num>
  <w:num w:numId="15">
    <w:abstractNumId w:val="5"/>
  </w:num>
  <w:num w:numId="16">
    <w:abstractNumId w:val="9"/>
  </w:num>
  <w:num w:numId="17">
    <w:abstractNumId w:val="4"/>
  </w:num>
  <w:num w:numId="18">
    <w:abstractNumId w:val="3"/>
  </w:num>
  <w:num w:numId="19">
    <w:abstractNumId w:val="2"/>
  </w:num>
  <w:num w:numId="2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removePersonalInformation/>
  <w:removeDateAndTime/>
  <w:embedSystemFonts/>
  <w:proofState w:spelling="clean" w:grammar="clean"/>
  <w:stylePaneFormatFilter w:val="3004"/>
  <w:doNotTrackMoves/>
  <w:defaultTabStop w:val="720"/>
  <w:drawingGridHorizontalSpacing w:val="360"/>
  <w:drawingGridVerticalSpacing w:val="360"/>
  <w:displayHorizontalDrawingGridEvery w:val="0"/>
  <w:displayVerticalDrawingGridEvery w:val="0"/>
  <w:characterSpacingControl w:val="doNotCompress"/>
  <w:hdrShapeDefaults>
    <o:shapedefaults v:ext="edit" spidmax="5122">
      <o:colormenu v:ext="edit" strokecolor="none [3212]"/>
    </o:shapedefaults>
  </w:hdrShapeDefaults>
  <w:footnotePr>
    <w:footnote w:id="-1"/>
    <w:footnote w:id="0"/>
  </w:footnotePr>
  <w:endnotePr>
    <w:endnote w:id="-1"/>
    <w:endnote w:id="0"/>
  </w:endnotePr>
  <w:compat/>
  <w:rsids>
    <w:rsidRoot w:val="00DD4A9D"/>
    <w:rsid w:val="00005BBD"/>
    <w:rsid w:val="00007A7D"/>
    <w:rsid w:val="0001115A"/>
    <w:rsid w:val="00012AF9"/>
    <w:rsid w:val="00014922"/>
    <w:rsid w:val="0001530D"/>
    <w:rsid w:val="000211B8"/>
    <w:rsid w:val="000216D8"/>
    <w:rsid w:val="00022DCA"/>
    <w:rsid w:val="00035FBE"/>
    <w:rsid w:val="000A3CF1"/>
    <w:rsid w:val="000B3105"/>
    <w:rsid w:val="000C551B"/>
    <w:rsid w:val="0011007C"/>
    <w:rsid w:val="001448F0"/>
    <w:rsid w:val="001622AE"/>
    <w:rsid w:val="001634CA"/>
    <w:rsid w:val="00175C93"/>
    <w:rsid w:val="00183A31"/>
    <w:rsid w:val="00191C1A"/>
    <w:rsid w:val="00192F17"/>
    <w:rsid w:val="001A1C37"/>
    <w:rsid w:val="001D0149"/>
    <w:rsid w:val="001D46E1"/>
    <w:rsid w:val="001D4E2E"/>
    <w:rsid w:val="001E0F39"/>
    <w:rsid w:val="001F5129"/>
    <w:rsid w:val="00211037"/>
    <w:rsid w:val="00211D37"/>
    <w:rsid w:val="002121EE"/>
    <w:rsid w:val="00222156"/>
    <w:rsid w:val="00225350"/>
    <w:rsid w:val="002339BE"/>
    <w:rsid w:val="00247F82"/>
    <w:rsid w:val="002566C2"/>
    <w:rsid w:val="002627BE"/>
    <w:rsid w:val="0026338C"/>
    <w:rsid w:val="0029012F"/>
    <w:rsid w:val="00290626"/>
    <w:rsid w:val="00292E49"/>
    <w:rsid w:val="00293D22"/>
    <w:rsid w:val="002A60BE"/>
    <w:rsid w:val="002C6BBA"/>
    <w:rsid w:val="002D3813"/>
    <w:rsid w:val="002D4929"/>
    <w:rsid w:val="002F6389"/>
    <w:rsid w:val="00321C5E"/>
    <w:rsid w:val="003307A4"/>
    <w:rsid w:val="00345D3A"/>
    <w:rsid w:val="003616A0"/>
    <w:rsid w:val="00380AB2"/>
    <w:rsid w:val="003A1E61"/>
    <w:rsid w:val="003C7CDD"/>
    <w:rsid w:val="003E70B5"/>
    <w:rsid w:val="003F1A39"/>
    <w:rsid w:val="004000C5"/>
    <w:rsid w:val="00405963"/>
    <w:rsid w:val="00411208"/>
    <w:rsid w:val="004131B5"/>
    <w:rsid w:val="00434DB9"/>
    <w:rsid w:val="00436FB3"/>
    <w:rsid w:val="004461BC"/>
    <w:rsid w:val="00456FF5"/>
    <w:rsid w:val="00457F28"/>
    <w:rsid w:val="00475620"/>
    <w:rsid w:val="004830DF"/>
    <w:rsid w:val="00490B0D"/>
    <w:rsid w:val="00494701"/>
    <w:rsid w:val="0049796A"/>
    <w:rsid w:val="004B1D6F"/>
    <w:rsid w:val="004D1FD2"/>
    <w:rsid w:val="004F019C"/>
    <w:rsid w:val="00520813"/>
    <w:rsid w:val="00523995"/>
    <w:rsid w:val="0053320E"/>
    <w:rsid w:val="005407EE"/>
    <w:rsid w:val="005659BD"/>
    <w:rsid w:val="00586E32"/>
    <w:rsid w:val="00587F9F"/>
    <w:rsid w:val="005A0128"/>
    <w:rsid w:val="005B1B20"/>
    <w:rsid w:val="005C3A89"/>
    <w:rsid w:val="005D6702"/>
    <w:rsid w:val="005E30BD"/>
    <w:rsid w:val="005E49A0"/>
    <w:rsid w:val="005E6281"/>
    <w:rsid w:val="005E7428"/>
    <w:rsid w:val="00612E12"/>
    <w:rsid w:val="00614BDE"/>
    <w:rsid w:val="00632215"/>
    <w:rsid w:val="006354DA"/>
    <w:rsid w:val="00636E17"/>
    <w:rsid w:val="00641E78"/>
    <w:rsid w:val="006434C4"/>
    <w:rsid w:val="00677FE8"/>
    <w:rsid w:val="006A0160"/>
    <w:rsid w:val="006D4ADF"/>
    <w:rsid w:val="00701510"/>
    <w:rsid w:val="00702A59"/>
    <w:rsid w:val="00706476"/>
    <w:rsid w:val="00706B51"/>
    <w:rsid w:val="007134E3"/>
    <w:rsid w:val="00723B90"/>
    <w:rsid w:val="00736045"/>
    <w:rsid w:val="00745187"/>
    <w:rsid w:val="00751941"/>
    <w:rsid w:val="007627E7"/>
    <w:rsid w:val="007877AF"/>
    <w:rsid w:val="00790534"/>
    <w:rsid w:val="007A4543"/>
    <w:rsid w:val="007B4DB6"/>
    <w:rsid w:val="007B6735"/>
    <w:rsid w:val="007D6D4F"/>
    <w:rsid w:val="007E0D61"/>
    <w:rsid w:val="007F2C6B"/>
    <w:rsid w:val="00801F82"/>
    <w:rsid w:val="00807954"/>
    <w:rsid w:val="0083387B"/>
    <w:rsid w:val="00835BF2"/>
    <w:rsid w:val="00837C7F"/>
    <w:rsid w:val="00842091"/>
    <w:rsid w:val="0085517F"/>
    <w:rsid w:val="00862BB6"/>
    <w:rsid w:val="00867B03"/>
    <w:rsid w:val="00875DC5"/>
    <w:rsid w:val="00882490"/>
    <w:rsid w:val="00897F1B"/>
    <w:rsid w:val="008B5B38"/>
    <w:rsid w:val="008D19D8"/>
    <w:rsid w:val="008E55D6"/>
    <w:rsid w:val="008F2834"/>
    <w:rsid w:val="008F3662"/>
    <w:rsid w:val="008F3D35"/>
    <w:rsid w:val="009052C1"/>
    <w:rsid w:val="00915E13"/>
    <w:rsid w:val="0092050C"/>
    <w:rsid w:val="00936655"/>
    <w:rsid w:val="009839F6"/>
    <w:rsid w:val="009870A2"/>
    <w:rsid w:val="009A0739"/>
    <w:rsid w:val="009A55BC"/>
    <w:rsid w:val="009B5350"/>
    <w:rsid w:val="009E65AD"/>
    <w:rsid w:val="00A11000"/>
    <w:rsid w:val="00A16060"/>
    <w:rsid w:val="00A33CA0"/>
    <w:rsid w:val="00A42158"/>
    <w:rsid w:val="00A44D1C"/>
    <w:rsid w:val="00A74072"/>
    <w:rsid w:val="00AA761B"/>
    <w:rsid w:val="00AB6C4F"/>
    <w:rsid w:val="00AC3A7A"/>
    <w:rsid w:val="00AD1389"/>
    <w:rsid w:val="00B22CE7"/>
    <w:rsid w:val="00B325B1"/>
    <w:rsid w:val="00B4304D"/>
    <w:rsid w:val="00B44A05"/>
    <w:rsid w:val="00B53161"/>
    <w:rsid w:val="00B535D4"/>
    <w:rsid w:val="00B73C4D"/>
    <w:rsid w:val="00B755C7"/>
    <w:rsid w:val="00B817ED"/>
    <w:rsid w:val="00B84FE2"/>
    <w:rsid w:val="00B85D08"/>
    <w:rsid w:val="00BA272E"/>
    <w:rsid w:val="00BA65DA"/>
    <w:rsid w:val="00BC4822"/>
    <w:rsid w:val="00BD4070"/>
    <w:rsid w:val="00BD4121"/>
    <w:rsid w:val="00BE7D00"/>
    <w:rsid w:val="00C31256"/>
    <w:rsid w:val="00C33393"/>
    <w:rsid w:val="00C441E3"/>
    <w:rsid w:val="00C6437E"/>
    <w:rsid w:val="00C65D07"/>
    <w:rsid w:val="00C76CD9"/>
    <w:rsid w:val="00C7759F"/>
    <w:rsid w:val="00CA10C4"/>
    <w:rsid w:val="00CA4DD1"/>
    <w:rsid w:val="00CB1E88"/>
    <w:rsid w:val="00CB5D45"/>
    <w:rsid w:val="00CE57D9"/>
    <w:rsid w:val="00CF5505"/>
    <w:rsid w:val="00D12E0C"/>
    <w:rsid w:val="00D42E48"/>
    <w:rsid w:val="00D46770"/>
    <w:rsid w:val="00D6643E"/>
    <w:rsid w:val="00D70486"/>
    <w:rsid w:val="00D72F42"/>
    <w:rsid w:val="00D73F11"/>
    <w:rsid w:val="00D75984"/>
    <w:rsid w:val="00D809B8"/>
    <w:rsid w:val="00D92D5E"/>
    <w:rsid w:val="00DA6A55"/>
    <w:rsid w:val="00DB28A3"/>
    <w:rsid w:val="00DC447B"/>
    <w:rsid w:val="00DD48A8"/>
    <w:rsid w:val="00DD4A9D"/>
    <w:rsid w:val="00DD6C13"/>
    <w:rsid w:val="00DE3460"/>
    <w:rsid w:val="00E11B24"/>
    <w:rsid w:val="00E21C1E"/>
    <w:rsid w:val="00E342A7"/>
    <w:rsid w:val="00E4661D"/>
    <w:rsid w:val="00E539B2"/>
    <w:rsid w:val="00E618C5"/>
    <w:rsid w:val="00E6247C"/>
    <w:rsid w:val="00E7059C"/>
    <w:rsid w:val="00E95476"/>
    <w:rsid w:val="00EA1992"/>
    <w:rsid w:val="00EB018D"/>
    <w:rsid w:val="00EF7E7D"/>
    <w:rsid w:val="00F10866"/>
    <w:rsid w:val="00F149ED"/>
    <w:rsid w:val="00F312A5"/>
    <w:rsid w:val="00F342E5"/>
    <w:rsid w:val="00F74566"/>
    <w:rsid w:val="00FA2362"/>
    <w:rsid w:val="00FB2907"/>
    <w:rsid w:val="00FC40AA"/>
    <w:rsid w:val="00FC5285"/>
  </w:rsids>
  <m:mathPr>
    <m:mathFont m:val="Cambria Math"/>
    <m:brkBin m:val="before"/>
    <m:brkBinSub m:val="--"/>
    <m:smallFrac/>
    <m:dispDe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strokecolor="none [3212]"/>
    </o:shapedefaults>
    <o:shapelayout v:ext="edit">
      <o:idmap v:ext="edit" data="1"/>
      <o:rules v:ext="edit">
        <o:r id="V:Rule4" type="connector" idref="#Straight Arrow Connector 8"/>
        <o:r id="V:Rule5" type="connector" idref="#Straight Arrow Connector 5"/>
        <o:r id="V:Rule6" type="connector" idref="#Straight Arrow Connector 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mbria" w:eastAsia="Cambria" w:hAnsi="Cambria" w:cs="Times New Roman"/>
        <w:sz w:val="22"/>
        <w:szCs w:val="22"/>
        <w:lang w:val="en-US" w:eastAsia="en-US" w:bidi="ar-SA"/>
      </w:rPr>
    </w:rPrDefault>
    <w:pPrDefault/>
  </w:docDefaults>
  <w:latentStyles w:defLockedState="0" w:defUIPriority="0" w:defSemiHidden="0" w:defUnhideWhenUsed="0" w:defQFormat="0" w:count="267">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aliases w:val="Normal-paragraph space"/>
    <w:qFormat/>
    <w:rsid w:val="00523995"/>
    <w:pPr>
      <w:spacing w:before="120"/>
    </w:pPr>
    <w:rPr>
      <w:rFonts w:ascii="Times New Roman" w:eastAsia="Times New Roman" w:hAnsi="Times New Roman"/>
      <w:sz w:val="24"/>
      <w:szCs w:val="24"/>
      <w:lang w:bidi="en-US"/>
    </w:rPr>
  </w:style>
  <w:style w:type="paragraph" w:styleId="Heading1">
    <w:name w:val="heading 1"/>
    <w:aliases w:val="Closing figure"/>
    <w:basedOn w:val="Normal"/>
    <w:next w:val="Normal"/>
    <w:link w:val="Heading1Char"/>
    <w:qFormat/>
    <w:rsid w:val="00523995"/>
    <w:pPr>
      <w:keepLines/>
      <w:pBdr>
        <w:left w:val="single" w:sz="6" w:space="0" w:color="auto"/>
        <w:bottom w:val="single" w:sz="6" w:space="0" w:color="auto"/>
        <w:right w:val="single" w:sz="6" w:space="0" w:color="auto"/>
      </w:pBdr>
      <w:spacing w:before="240" w:after="60"/>
      <w:jc w:val="both"/>
      <w:outlineLvl w:val="0"/>
    </w:pPr>
    <w:rPr>
      <w:bCs/>
      <w:kern w:val="32"/>
      <w:szCs w:val="32"/>
    </w:rPr>
  </w:style>
  <w:style w:type="paragraph" w:styleId="Heading2">
    <w:name w:val="heading 2"/>
    <w:basedOn w:val="Normal"/>
    <w:next w:val="Normal"/>
    <w:link w:val="Heading2Char"/>
    <w:qFormat/>
    <w:rsid w:val="00BD4121"/>
    <w:pPr>
      <w:keepNext/>
      <w:spacing w:before="240" w:after="60" w:line="360" w:lineRule="auto"/>
      <w:outlineLvl w:val="1"/>
    </w:pPr>
    <w:rPr>
      <w:bCs/>
      <w:iCs/>
      <w:sz w:val="28"/>
      <w:szCs w:val="28"/>
    </w:rPr>
  </w:style>
  <w:style w:type="paragraph" w:styleId="Heading3">
    <w:name w:val="heading 3"/>
    <w:basedOn w:val="Normal"/>
    <w:next w:val="Normal"/>
    <w:link w:val="Heading3Char"/>
    <w:qFormat/>
    <w:rsid w:val="00523995"/>
    <w:pPr>
      <w:keepNext/>
      <w:spacing w:before="240" w:after="60"/>
      <w:outlineLvl w:val="2"/>
    </w:pPr>
    <w:rPr>
      <w:b/>
      <w:bCs/>
      <w:sz w:val="32"/>
      <w:szCs w:val="26"/>
    </w:rPr>
  </w:style>
  <w:style w:type="paragraph" w:styleId="Heading4">
    <w:name w:val="heading 4"/>
    <w:basedOn w:val="Normal"/>
    <w:next w:val="Normal"/>
    <w:link w:val="Heading4Char"/>
    <w:qFormat/>
    <w:rsid w:val="00523995"/>
    <w:pPr>
      <w:keepNext/>
      <w:spacing w:before="240" w:after="60"/>
      <w:outlineLvl w:val="3"/>
    </w:pPr>
    <w:rPr>
      <w:b/>
      <w:bCs/>
      <w:sz w:val="28"/>
      <w:szCs w:val="28"/>
    </w:rPr>
  </w:style>
  <w:style w:type="paragraph" w:styleId="Heading5">
    <w:name w:val="heading 5"/>
    <w:basedOn w:val="Normal"/>
    <w:next w:val="Normal"/>
    <w:link w:val="Heading5Char"/>
    <w:qFormat/>
    <w:rsid w:val="00523995"/>
    <w:pPr>
      <w:spacing w:before="240" w:after="60"/>
      <w:outlineLvl w:val="4"/>
    </w:pPr>
    <w:rPr>
      <w:b/>
      <w:bCs/>
      <w:i/>
      <w:iCs/>
      <w:sz w:val="26"/>
      <w:szCs w:val="26"/>
    </w:rPr>
  </w:style>
  <w:style w:type="paragraph" w:styleId="Heading6">
    <w:name w:val="heading 6"/>
    <w:basedOn w:val="Normal"/>
    <w:next w:val="Normal"/>
    <w:link w:val="Heading6Char"/>
    <w:qFormat/>
    <w:rsid w:val="00523995"/>
    <w:pPr>
      <w:spacing w:before="240" w:after="60"/>
      <w:outlineLvl w:val="5"/>
    </w:pPr>
    <w:rPr>
      <w:b/>
      <w:bCs/>
      <w:sz w:val="22"/>
      <w:szCs w:val="22"/>
    </w:rPr>
  </w:style>
  <w:style w:type="paragraph" w:styleId="Heading7">
    <w:name w:val="heading 7"/>
    <w:basedOn w:val="Normal"/>
    <w:next w:val="Normal"/>
    <w:link w:val="Heading7Char"/>
    <w:qFormat/>
    <w:rsid w:val="00523995"/>
    <w:pPr>
      <w:spacing w:before="240" w:after="60"/>
      <w:outlineLvl w:val="6"/>
    </w:pPr>
  </w:style>
  <w:style w:type="paragraph" w:styleId="Heading8">
    <w:name w:val="heading 8"/>
    <w:aliases w:val="tc"/>
    <w:basedOn w:val="Normal"/>
    <w:next w:val="Normal"/>
    <w:link w:val="Heading8Char"/>
    <w:qFormat/>
    <w:rsid w:val="00702A59"/>
    <w:pPr>
      <w:keepNext/>
      <w:keepLines/>
      <w:pBdr>
        <w:top w:val="single" w:sz="6" w:space="0" w:color="auto"/>
      </w:pBdr>
      <w:spacing w:before="360" w:after="120" w:line="360" w:lineRule="auto"/>
      <w:ind w:left="1440" w:hanging="1440"/>
      <w:jc w:val="both"/>
      <w:outlineLvl w:val="7"/>
    </w:pPr>
    <w:rPr>
      <w:szCs w:val="20"/>
      <w:lang w:bidi="ar-SA"/>
    </w:rPr>
  </w:style>
  <w:style w:type="paragraph" w:styleId="Heading9">
    <w:name w:val="heading 9"/>
    <w:aliases w:val="fc"/>
    <w:basedOn w:val="Normal"/>
    <w:next w:val="Normal"/>
    <w:link w:val="Heading9Char"/>
    <w:qFormat/>
    <w:rsid w:val="00523995"/>
    <w:pPr>
      <w:keepLines/>
      <w:pBdr>
        <w:left w:val="single" w:sz="2" w:space="0" w:color="auto"/>
        <w:bottom w:val="single" w:sz="6" w:space="0" w:color="auto"/>
        <w:right w:val="single" w:sz="6" w:space="0" w:color="auto"/>
      </w:pBdr>
      <w:tabs>
        <w:tab w:val="left" w:pos="1260"/>
      </w:tabs>
      <w:spacing w:after="120"/>
      <w:jc w:val="both"/>
      <w:outlineLvl w:val="8"/>
    </w:pPr>
    <w:rPr>
      <w:szCs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losing figure Char"/>
    <w:basedOn w:val="DefaultParagraphFont"/>
    <w:link w:val="Heading1"/>
    <w:rsid w:val="00DD4A9D"/>
    <w:rPr>
      <w:rFonts w:ascii="Times New Roman" w:eastAsia="Times New Roman" w:hAnsi="Times New Roman"/>
      <w:bCs/>
      <w:kern w:val="32"/>
      <w:sz w:val="24"/>
      <w:szCs w:val="32"/>
      <w:lang w:bidi="en-US"/>
    </w:rPr>
  </w:style>
  <w:style w:type="character" w:customStyle="1" w:styleId="Heading2Char">
    <w:name w:val="Heading 2 Char"/>
    <w:basedOn w:val="DefaultParagraphFont"/>
    <w:link w:val="Heading2"/>
    <w:rsid w:val="00BD4121"/>
    <w:rPr>
      <w:rFonts w:ascii="Times New Roman" w:eastAsia="Times New Roman" w:hAnsi="Times New Roman"/>
      <w:bCs/>
      <w:iCs/>
      <w:sz w:val="28"/>
      <w:szCs w:val="28"/>
      <w:lang w:bidi="en-US"/>
    </w:rPr>
  </w:style>
  <w:style w:type="character" w:customStyle="1" w:styleId="Heading3Char">
    <w:name w:val="Heading 3 Char"/>
    <w:basedOn w:val="DefaultParagraphFont"/>
    <w:link w:val="Heading3"/>
    <w:rsid w:val="00DD4A9D"/>
    <w:rPr>
      <w:rFonts w:ascii="Times New Roman" w:eastAsia="Times New Roman" w:hAnsi="Times New Roman"/>
      <w:b/>
      <w:bCs/>
      <w:sz w:val="32"/>
      <w:szCs w:val="26"/>
      <w:lang w:bidi="en-US"/>
    </w:rPr>
  </w:style>
  <w:style w:type="character" w:customStyle="1" w:styleId="Heading4Char">
    <w:name w:val="Heading 4 Char"/>
    <w:basedOn w:val="DefaultParagraphFont"/>
    <w:link w:val="Heading4"/>
    <w:rsid w:val="00DD4A9D"/>
    <w:rPr>
      <w:rFonts w:ascii="Times New Roman" w:eastAsia="Times New Roman" w:hAnsi="Times New Roman"/>
      <w:b/>
      <w:bCs/>
      <w:sz w:val="28"/>
      <w:szCs w:val="28"/>
      <w:lang w:bidi="en-US"/>
    </w:rPr>
  </w:style>
  <w:style w:type="character" w:customStyle="1" w:styleId="Heading5Char">
    <w:name w:val="Heading 5 Char"/>
    <w:basedOn w:val="DefaultParagraphFont"/>
    <w:link w:val="Heading5"/>
    <w:rsid w:val="00DD4A9D"/>
    <w:rPr>
      <w:rFonts w:ascii="Times New Roman" w:eastAsia="Times New Roman" w:hAnsi="Times New Roman"/>
      <w:b/>
      <w:bCs/>
      <w:i/>
      <w:iCs/>
      <w:sz w:val="26"/>
      <w:szCs w:val="26"/>
      <w:lang w:bidi="en-US"/>
    </w:rPr>
  </w:style>
  <w:style w:type="character" w:customStyle="1" w:styleId="Heading6Char">
    <w:name w:val="Heading 6 Char"/>
    <w:basedOn w:val="DefaultParagraphFont"/>
    <w:link w:val="Heading6"/>
    <w:rsid w:val="00DD4A9D"/>
    <w:rPr>
      <w:rFonts w:ascii="Times New Roman" w:eastAsia="Times New Roman" w:hAnsi="Times New Roman"/>
      <w:b/>
      <w:bCs/>
      <w:lang w:bidi="en-US"/>
    </w:rPr>
  </w:style>
  <w:style w:type="character" w:customStyle="1" w:styleId="Heading7Char">
    <w:name w:val="Heading 7 Char"/>
    <w:basedOn w:val="DefaultParagraphFont"/>
    <w:link w:val="Heading7"/>
    <w:rsid w:val="00DD4A9D"/>
    <w:rPr>
      <w:rFonts w:ascii="Times New Roman" w:eastAsia="Times New Roman" w:hAnsi="Times New Roman"/>
      <w:sz w:val="24"/>
      <w:szCs w:val="24"/>
      <w:lang w:bidi="en-US"/>
    </w:rPr>
  </w:style>
  <w:style w:type="character" w:customStyle="1" w:styleId="Heading8Char">
    <w:name w:val="Heading 8 Char"/>
    <w:aliases w:val="tc Char"/>
    <w:basedOn w:val="DefaultParagraphFont"/>
    <w:link w:val="Heading8"/>
    <w:rsid w:val="00702A59"/>
    <w:rPr>
      <w:rFonts w:ascii="Times New Roman" w:eastAsia="Times New Roman" w:hAnsi="Times New Roman"/>
      <w:sz w:val="24"/>
      <w:szCs w:val="20"/>
    </w:rPr>
  </w:style>
  <w:style w:type="character" w:customStyle="1" w:styleId="Heading9Char">
    <w:name w:val="Heading 9 Char"/>
    <w:aliases w:val="fc Char"/>
    <w:basedOn w:val="DefaultParagraphFont"/>
    <w:link w:val="Heading9"/>
    <w:rsid w:val="00DD4A9D"/>
    <w:rPr>
      <w:rFonts w:ascii="Times New Roman" w:eastAsia="Times New Roman" w:hAnsi="Times New Roman"/>
      <w:sz w:val="24"/>
      <w:szCs w:val="20"/>
    </w:rPr>
  </w:style>
  <w:style w:type="character" w:customStyle="1" w:styleId="FootnoteTextChar">
    <w:name w:val="Footnote Text Char"/>
    <w:link w:val="FootnoteText"/>
    <w:locked/>
    <w:rsid w:val="00DD4A9D"/>
    <w:rPr>
      <w:rFonts w:ascii="Times New Roman" w:eastAsia="Times New Roman" w:hAnsi="Times New Roman"/>
      <w:sz w:val="20"/>
      <w:szCs w:val="20"/>
      <w:lang w:bidi="en-US"/>
    </w:rPr>
  </w:style>
  <w:style w:type="paragraph" w:styleId="FootnoteText">
    <w:name w:val="footnote text"/>
    <w:basedOn w:val="Normal"/>
    <w:link w:val="FootnoteTextChar"/>
    <w:rsid w:val="00523995"/>
    <w:rPr>
      <w:sz w:val="20"/>
      <w:szCs w:val="20"/>
    </w:rPr>
  </w:style>
  <w:style w:type="character" w:customStyle="1" w:styleId="FootnoteTextChar1">
    <w:name w:val="Footnote Text Char1"/>
    <w:basedOn w:val="DefaultParagraphFont"/>
    <w:uiPriority w:val="99"/>
    <w:semiHidden/>
    <w:rsid w:val="00DD4A9D"/>
    <w:rPr>
      <w:rFonts w:ascii="Calibri" w:eastAsia="MS Gothic" w:hAnsi="Calibri" w:cs="Times New Roman"/>
    </w:rPr>
  </w:style>
  <w:style w:type="character" w:customStyle="1" w:styleId="HeaderChar">
    <w:name w:val="Header Char"/>
    <w:link w:val="Header"/>
    <w:locked/>
    <w:rsid w:val="00DD4A9D"/>
    <w:rPr>
      <w:rFonts w:ascii="Times New Roman" w:eastAsia="Times New Roman" w:hAnsi="Times New Roman"/>
      <w:sz w:val="24"/>
      <w:szCs w:val="24"/>
      <w:lang w:bidi="en-US"/>
    </w:rPr>
  </w:style>
  <w:style w:type="paragraph" w:styleId="Header">
    <w:name w:val="header"/>
    <w:basedOn w:val="Normal"/>
    <w:link w:val="HeaderChar"/>
    <w:rsid w:val="00523995"/>
    <w:pPr>
      <w:tabs>
        <w:tab w:val="center" w:pos="4680"/>
        <w:tab w:val="right" w:pos="9360"/>
      </w:tabs>
    </w:pPr>
  </w:style>
  <w:style w:type="character" w:customStyle="1" w:styleId="HeaderChar1">
    <w:name w:val="Header Char1"/>
    <w:basedOn w:val="DefaultParagraphFont"/>
    <w:uiPriority w:val="99"/>
    <w:semiHidden/>
    <w:rsid w:val="00DD4A9D"/>
    <w:rPr>
      <w:rFonts w:ascii="Calibri" w:eastAsia="MS Gothic" w:hAnsi="Calibri" w:cs="Times New Roman"/>
      <w:sz w:val="22"/>
      <w:szCs w:val="22"/>
    </w:rPr>
  </w:style>
  <w:style w:type="character" w:customStyle="1" w:styleId="FooterChar">
    <w:name w:val="Footer Char"/>
    <w:link w:val="Footer"/>
    <w:locked/>
    <w:rsid w:val="00DD4A9D"/>
    <w:rPr>
      <w:rFonts w:ascii="Times New Roman" w:eastAsia="Times New Roman" w:hAnsi="Times New Roman"/>
      <w:sz w:val="24"/>
      <w:szCs w:val="24"/>
      <w:lang w:bidi="en-US"/>
    </w:rPr>
  </w:style>
  <w:style w:type="paragraph" w:styleId="Footer">
    <w:name w:val="footer"/>
    <w:basedOn w:val="Normal"/>
    <w:link w:val="FooterChar"/>
    <w:rsid w:val="00523995"/>
    <w:pPr>
      <w:tabs>
        <w:tab w:val="center" w:pos="4680"/>
        <w:tab w:val="right" w:pos="9360"/>
      </w:tabs>
    </w:pPr>
  </w:style>
  <w:style w:type="character" w:customStyle="1" w:styleId="FooterChar1">
    <w:name w:val="Footer Char1"/>
    <w:basedOn w:val="DefaultParagraphFont"/>
    <w:uiPriority w:val="99"/>
    <w:semiHidden/>
    <w:rsid w:val="00DD4A9D"/>
    <w:rPr>
      <w:rFonts w:ascii="Calibri" w:eastAsia="MS Gothic" w:hAnsi="Calibri" w:cs="Times New Roman"/>
      <w:sz w:val="22"/>
      <w:szCs w:val="22"/>
    </w:rPr>
  </w:style>
  <w:style w:type="character" w:customStyle="1" w:styleId="TitleChar">
    <w:name w:val="Title Char"/>
    <w:link w:val="Title"/>
    <w:locked/>
    <w:rsid w:val="00801F82"/>
    <w:rPr>
      <w:rFonts w:ascii="Times New Roman" w:eastAsia="Times New Roman" w:hAnsi="Times New Roman"/>
      <w:bCs/>
      <w:kern w:val="28"/>
      <w:sz w:val="28"/>
      <w:szCs w:val="28"/>
      <w:lang w:bidi="en-US"/>
    </w:rPr>
  </w:style>
  <w:style w:type="paragraph" w:styleId="Title">
    <w:name w:val="Title"/>
    <w:basedOn w:val="Normal"/>
    <w:next w:val="Normal"/>
    <w:link w:val="TitleChar"/>
    <w:qFormat/>
    <w:rsid w:val="00801F82"/>
    <w:pPr>
      <w:spacing w:before="240" w:after="60"/>
      <w:jc w:val="center"/>
      <w:outlineLvl w:val="0"/>
    </w:pPr>
    <w:rPr>
      <w:bCs/>
      <w:kern w:val="28"/>
      <w:sz w:val="28"/>
      <w:szCs w:val="28"/>
    </w:rPr>
  </w:style>
  <w:style w:type="character" w:customStyle="1" w:styleId="TitleChar1">
    <w:name w:val="Title Char1"/>
    <w:basedOn w:val="DefaultParagraphFont"/>
    <w:uiPriority w:val="10"/>
    <w:rsid w:val="00DD4A9D"/>
    <w:rPr>
      <w:rFonts w:ascii="Calibri" w:eastAsia="Times New Roman" w:hAnsi="Calibri" w:cs="Times New Roman"/>
      <w:color w:val="183A63"/>
      <w:spacing w:val="5"/>
      <w:kern w:val="28"/>
      <w:sz w:val="52"/>
      <w:szCs w:val="52"/>
    </w:rPr>
  </w:style>
  <w:style w:type="character" w:customStyle="1" w:styleId="SubtitleChar">
    <w:name w:val="Subtitle Char"/>
    <w:link w:val="Subtitle"/>
    <w:locked/>
    <w:rsid w:val="00DD4A9D"/>
    <w:rPr>
      <w:rFonts w:eastAsia="Times New Roman"/>
      <w:sz w:val="24"/>
      <w:szCs w:val="24"/>
      <w:lang w:bidi="en-US"/>
    </w:rPr>
  </w:style>
  <w:style w:type="paragraph" w:styleId="Subtitle">
    <w:name w:val="Subtitle"/>
    <w:basedOn w:val="Normal"/>
    <w:next w:val="Normal"/>
    <w:link w:val="SubtitleChar"/>
    <w:qFormat/>
    <w:rsid w:val="00523995"/>
    <w:pPr>
      <w:spacing w:after="60"/>
      <w:jc w:val="center"/>
      <w:outlineLvl w:val="1"/>
    </w:pPr>
    <w:rPr>
      <w:rFonts w:ascii="Cambria" w:hAnsi="Cambria"/>
    </w:rPr>
  </w:style>
  <w:style w:type="character" w:customStyle="1" w:styleId="SubtitleChar1">
    <w:name w:val="Subtitle Char1"/>
    <w:basedOn w:val="DefaultParagraphFont"/>
    <w:uiPriority w:val="11"/>
    <w:rsid w:val="00DD4A9D"/>
    <w:rPr>
      <w:rFonts w:ascii="Calibri" w:eastAsia="Times New Roman" w:hAnsi="Calibri" w:cs="Times New Roman"/>
      <w:i/>
      <w:iCs/>
      <w:color w:val="4F81BD"/>
      <w:spacing w:val="15"/>
    </w:rPr>
  </w:style>
  <w:style w:type="character" w:customStyle="1" w:styleId="NoSpacingChar">
    <w:name w:val="No Spacing Char"/>
    <w:link w:val="a"/>
    <w:locked/>
    <w:rsid w:val="00DD4A9D"/>
    <w:rPr>
      <w:rFonts w:ascii="Times New Roman" w:eastAsia="Times New Roman" w:hAnsi="Times New Roman"/>
      <w:sz w:val="24"/>
      <w:szCs w:val="32"/>
      <w:lang w:bidi="en-US"/>
    </w:rPr>
  </w:style>
  <w:style w:type="paragraph" w:customStyle="1" w:styleId="a">
    <w:basedOn w:val="Normal"/>
    <w:next w:val="NoSpacing"/>
    <w:link w:val="NoSpacingChar"/>
    <w:qFormat/>
    <w:rsid w:val="00523995"/>
    <w:rPr>
      <w:szCs w:val="32"/>
    </w:rPr>
  </w:style>
  <w:style w:type="character" w:customStyle="1" w:styleId="ColorfulGrid-Accent1Char">
    <w:name w:val="Colorful Grid - Accent 1 Char"/>
    <w:link w:val="MediumGrid2-Accent2"/>
    <w:uiPriority w:val="29"/>
    <w:locked/>
    <w:rsid w:val="00DD4A9D"/>
    <w:rPr>
      <w:i/>
      <w:iCs/>
    </w:rPr>
  </w:style>
  <w:style w:type="character" w:customStyle="1" w:styleId="LightShading-Accent2Char">
    <w:name w:val="Light Shading - Accent 2 Char"/>
    <w:link w:val="MediumGrid3-Accent2"/>
    <w:uiPriority w:val="30"/>
    <w:locked/>
    <w:rsid w:val="00DD4A9D"/>
    <w:rPr>
      <w:i/>
      <w:iCs/>
    </w:rPr>
  </w:style>
  <w:style w:type="paragraph" w:customStyle="1" w:styleId="Graph">
    <w:name w:val="Graph"/>
    <w:basedOn w:val="NoSpacing"/>
    <w:autoRedefine/>
    <w:rsid w:val="00641E78"/>
    <w:pPr>
      <w:pBdr>
        <w:top w:val="single" w:sz="4" w:space="1" w:color="auto"/>
        <w:left w:val="single" w:sz="4" w:space="4" w:color="auto"/>
        <w:bottom w:val="single" w:sz="4" w:space="1" w:color="auto"/>
        <w:right w:val="single" w:sz="4" w:space="4" w:color="auto"/>
      </w:pBdr>
      <w:spacing w:before="120" w:line="480" w:lineRule="auto"/>
    </w:pPr>
    <w:rPr>
      <w:rFonts w:eastAsia="Calibri"/>
      <w:sz w:val="22"/>
      <w:szCs w:val="22"/>
      <w:lang w:bidi="ar-SA"/>
    </w:rPr>
  </w:style>
  <w:style w:type="character" w:styleId="Hyperlink">
    <w:name w:val="Hyperlink"/>
    <w:basedOn w:val="DefaultParagraphFont"/>
    <w:uiPriority w:val="99"/>
    <w:rsid w:val="00523995"/>
    <w:rPr>
      <w:color w:val="0000FF"/>
      <w:u w:val="single"/>
    </w:rPr>
  </w:style>
  <w:style w:type="character" w:styleId="Strong">
    <w:name w:val="Strong"/>
    <w:basedOn w:val="DefaultParagraphFont"/>
    <w:qFormat/>
    <w:rsid w:val="00523995"/>
    <w:rPr>
      <w:b/>
      <w:bCs/>
    </w:rPr>
  </w:style>
  <w:style w:type="paragraph" w:customStyle="1" w:styleId="Equation">
    <w:name w:val="Equation"/>
    <w:basedOn w:val="Normal"/>
    <w:rsid w:val="00523995"/>
    <w:pPr>
      <w:tabs>
        <w:tab w:val="center" w:pos="3600"/>
        <w:tab w:val="left" w:pos="7200"/>
      </w:tabs>
      <w:spacing w:after="120"/>
    </w:pPr>
    <w:rPr>
      <w:noProof/>
    </w:rPr>
  </w:style>
  <w:style w:type="character" w:styleId="CommentReference">
    <w:name w:val="annotation reference"/>
    <w:basedOn w:val="DefaultParagraphFont"/>
    <w:semiHidden/>
    <w:rsid w:val="00523995"/>
    <w:rPr>
      <w:sz w:val="16"/>
      <w:szCs w:val="16"/>
    </w:rPr>
  </w:style>
  <w:style w:type="paragraph" w:customStyle="1" w:styleId="figure">
    <w:name w:val="figure"/>
    <w:basedOn w:val="Normal"/>
    <w:next w:val="Heading9"/>
    <w:rsid w:val="00523995"/>
    <w:pPr>
      <w:keepNext/>
      <w:keepLines/>
      <w:pBdr>
        <w:top w:val="single" w:sz="2" w:space="0" w:color="auto"/>
        <w:left w:val="single" w:sz="2" w:space="0" w:color="auto"/>
        <w:right w:val="single" w:sz="6" w:space="0" w:color="auto"/>
      </w:pBdr>
      <w:spacing w:after="120" w:line="480" w:lineRule="auto"/>
      <w:jc w:val="center"/>
    </w:pPr>
    <w:rPr>
      <w:rFonts w:ascii="Arial" w:hAnsi="Arial"/>
      <w:sz w:val="20"/>
      <w:szCs w:val="20"/>
      <w:lang w:bidi="ar-SA"/>
    </w:rPr>
  </w:style>
  <w:style w:type="paragraph" w:customStyle="1" w:styleId="Table">
    <w:name w:val="Table"/>
    <w:basedOn w:val="Normal"/>
    <w:autoRedefine/>
    <w:rsid w:val="00523995"/>
    <w:pPr>
      <w:jc w:val="center"/>
    </w:pPr>
    <w:rPr>
      <w:rFonts w:ascii="Calibri" w:eastAsia="Calibri" w:hAnsi="Calibri"/>
      <w:sz w:val="22"/>
      <w:szCs w:val="22"/>
      <w:lang w:bidi="ar-SA"/>
    </w:rPr>
  </w:style>
  <w:style w:type="character" w:customStyle="1" w:styleId="il">
    <w:name w:val="il"/>
    <w:basedOn w:val="DefaultParagraphFont"/>
    <w:rsid w:val="00523995"/>
  </w:style>
  <w:style w:type="paragraph" w:customStyle="1" w:styleId="a0">
    <w:basedOn w:val="Normal"/>
    <w:next w:val="Normal"/>
    <w:rsid w:val="00523995"/>
    <w:pPr>
      <w:spacing w:after="120"/>
    </w:pPr>
  </w:style>
  <w:style w:type="paragraph" w:styleId="CommentText">
    <w:name w:val="annotation text"/>
    <w:basedOn w:val="Normal"/>
    <w:link w:val="CommentTextChar"/>
    <w:semiHidden/>
    <w:rsid w:val="00523995"/>
    <w:rPr>
      <w:sz w:val="20"/>
      <w:szCs w:val="20"/>
    </w:rPr>
  </w:style>
  <w:style w:type="character" w:customStyle="1" w:styleId="CommentTextChar">
    <w:name w:val="Comment Text Char"/>
    <w:basedOn w:val="DefaultParagraphFont"/>
    <w:link w:val="CommentText"/>
    <w:semiHidden/>
    <w:rsid w:val="00DD4A9D"/>
    <w:rPr>
      <w:rFonts w:ascii="Times New Roman" w:eastAsia="Times New Roman" w:hAnsi="Times New Roman"/>
      <w:sz w:val="20"/>
      <w:szCs w:val="20"/>
      <w:lang w:bidi="en-US"/>
    </w:rPr>
  </w:style>
  <w:style w:type="paragraph" w:styleId="BalloonText">
    <w:name w:val="Balloon Text"/>
    <w:basedOn w:val="Normal"/>
    <w:link w:val="BalloonTextChar"/>
    <w:rsid w:val="00523995"/>
    <w:pPr>
      <w:spacing w:before="0"/>
    </w:pPr>
    <w:rPr>
      <w:rFonts w:ascii="Tahoma" w:hAnsi="Tahoma" w:cs="Tahoma"/>
      <w:sz w:val="16"/>
      <w:szCs w:val="16"/>
    </w:rPr>
  </w:style>
  <w:style w:type="character" w:customStyle="1" w:styleId="BalloonTextChar">
    <w:name w:val="Balloon Text Char"/>
    <w:basedOn w:val="DefaultParagraphFont"/>
    <w:link w:val="BalloonText"/>
    <w:rsid w:val="00DD4A9D"/>
    <w:rPr>
      <w:rFonts w:ascii="Tahoma" w:eastAsia="Times New Roman" w:hAnsi="Tahoma" w:cs="Tahoma"/>
      <w:sz w:val="16"/>
      <w:szCs w:val="16"/>
      <w:lang w:bidi="en-US"/>
    </w:rPr>
  </w:style>
  <w:style w:type="paragraph" w:styleId="CommentSubject">
    <w:name w:val="annotation subject"/>
    <w:basedOn w:val="CommentText"/>
    <w:next w:val="CommentText"/>
    <w:link w:val="CommentSubjectChar"/>
    <w:rsid w:val="00523995"/>
    <w:rPr>
      <w:b/>
      <w:bCs/>
    </w:rPr>
  </w:style>
  <w:style w:type="character" w:customStyle="1" w:styleId="CommentSubjectChar">
    <w:name w:val="Comment Subject Char"/>
    <w:basedOn w:val="CommentTextChar"/>
    <w:link w:val="CommentSubject"/>
    <w:rsid w:val="00DD4A9D"/>
    <w:rPr>
      <w:rFonts w:ascii="Times New Roman" w:eastAsia="Times New Roman" w:hAnsi="Times New Roman"/>
      <w:b/>
      <w:bCs/>
      <w:sz w:val="20"/>
      <w:szCs w:val="20"/>
      <w:lang w:bidi="en-US"/>
    </w:rPr>
  </w:style>
  <w:style w:type="paragraph" w:styleId="Caption">
    <w:name w:val="caption"/>
    <w:basedOn w:val="Normal"/>
    <w:next w:val="Normal"/>
    <w:qFormat/>
    <w:rsid w:val="00523995"/>
    <w:rPr>
      <w:b/>
      <w:bCs/>
      <w:sz w:val="20"/>
      <w:szCs w:val="20"/>
    </w:rPr>
  </w:style>
  <w:style w:type="character" w:styleId="FollowedHyperlink">
    <w:name w:val="FollowedHyperlink"/>
    <w:basedOn w:val="DefaultParagraphFont"/>
    <w:rsid w:val="00523995"/>
    <w:rPr>
      <w:color w:val="800080"/>
      <w:u w:val="single"/>
    </w:rPr>
  </w:style>
  <w:style w:type="paragraph" w:styleId="DocumentMap">
    <w:name w:val="Document Map"/>
    <w:basedOn w:val="Normal"/>
    <w:link w:val="DocumentMapChar"/>
    <w:rsid w:val="00523995"/>
    <w:rPr>
      <w:rFonts w:ascii="Tahoma" w:hAnsi="Tahoma" w:cs="Tahoma"/>
      <w:sz w:val="16"/>
      <w:szCs w:val="16"/>
    </w:rPr>
  </w:style>
  <w:style w:type="character" w:customStyle="1" w:styleId="DocumentMapChar">
    <w:name w:val="Document Map Char"/>
    <w:basedOn w:val="DefaultParagraphFont"/>
    <w:link w:val="DocumentMap"/>
    <w:rsid w:val="00DD4A9D"/>
    <w:rPr>
      <w:rFonts w:ascii="Tahoma" w:eastAsia="Times New Roman" w:hAnsi="Tahoma" w:cs="Tahoma"/>
      <w:sz w:val="16"/>
      <w:szCs w:val="16"/>
      <w:lang w:bidi="en-US"/>
    </w:rPr>
  </w:style>
  <w:style w:type="paragraph" w:customStyle="1" w:styleId="indent">
    <w:name w:val="indent"/>
    <w:basedOn w:val="Normal"/>
    <w:link w:val="indentChar"/>
    <w:qFormat/>
    <w:rsid w:val="00523995"/>
    <w:pPr>
      <w:spacing w:line="480" w:lineRule="auto"/>
      <w:ind w:firstLine="360"/>
      <w:jc w:val="both"/>
    </w:pPr>
    <w:rPr>
      <w:szCs w:val="20"/>
    </w:rPr>
  </w:style>
  <w:style w:type="paragraph" w:customStyle="1" w:styleId="reference">
    <w:name w:val="reference"/>
    <w:basedOn w:val="Normal"/>
    <w:rsid w:val="00DD4A9D"/>
    <w:pPr>
      <w:spacing w:before="80" w:line="480" w:lineRule="auto"/>
      <w:ind w:left="320" w:hanging="320"/>
      <w:jc w:val="both"/>
    </w:pPr>
    <w:rPr>
      <w:szCs w:val="20"/>
    </w:rPr>
  </w:style>
  <w:style w:type="character" w:customStyle="1" w:styleId="indentChar">
    <w:name w:val="indent Char"/>
    <w:link w:val="indent"/>
    <w:locked/>
    <w:rsid w:val="00523995"/>
    <w:rPr>
      <w:rFonts w:ascii="Calibri" w:eastAsia="MS Gothic" w:hAnsi="Calibri"/>
      <w:sz w:val="24"/>
    </w:rPr>
  </w:style>
  <w:style w:type="character" w:customStyle="1" w:styleId="apple-converted-space">
    <w:name w:val="apple-converted-space"/>
    <w:basedOn w:val="DefaultParagraphFont"/>
    <w:rsid w:val="00DD4A9D"/>
  </w:style>
  <w:style w:type="character" w:customStyle="1" w:styleId="apple-style-span">
    <w:name w:val="apple-style-span"/>
    <w:basedOn w:val="DefaultParagraphFont"/>
    <w:rsid w:val="00DD4A9D"/>
  </w:style>
  <w:style w:type="paragraph" w:customStyle="1" w:styleId="Body">
    <w:name w:val="Body"/>
    <w:rsid w:val="00DD4A9D"/>
    <w:pPr>
      <w:spacing w:after="200" w:line="276" w:lineRule="auto"/>
    </w:pPr>
    <w:rPr>
      <w:rFonts w:ascii="Helvetica" w:eastAsia="ヒラギノ角ゴ Pro W3" w:hAnsi="Helvetica"/>
      <w:color w:val="000000"/>
      <w:sz w:val="24"/>
    </w:rPr>
  </w:style>
  <w:style w:type="paragraph" w:customStyle="1" w:styleId="FreeFormA">
    <w:name w:val="Free Form A"/>
    <w:autoRedefine/>
    <w:rsid w:val="00DD4A9D"/>
    <w:pPr>
      <w:spacing w:after="200" w:line="276" w:lineRule="auto"/>
    </w:pPr>
    <w:rPr>
      <w:rFonts w:ascii="Helvetica" w:eastAsia="ヒラギノ角ゴ Pro W3" w:hAnsi="Helvetica"/>
      <w:color w:val="000000"/>
      <w:sz w:val="24"/>
    </w:rPr>
  </w:style>
  <w:style w:type="character" w:styleId="Emphasis">
    <w:name w:val="Emphasis"/>
    <w:uiPriority w:val="20"/>
    <w:qFormat/>
    <w:rsid w:val="00DD4A9D"/>
    <w:rPr>
      <w:b/>
      <w:bCs/>
      <w:i/>
      <w:iCs/>
      <w:spacing w:val="10"/>
    </w:rPr>
  </w:style>
  <w:style w:type="character" w:customStyle="1" w:styleId="SubtleEmphasis1">
    <w:name w:val="Subtle Emphasis1"/>
    <w:uiPriority w:val="19"/>
    <w:qFormat/>
    <w:rsid w:val="00DD4A9D"/>
    <w:rPr>
      <w:i/>
      <w:iCs/>
    </w:rPr>
  </w:style>
  <w:style w:type="character" w:customStyle="1" w:styleId="IntenseEmphasis1">
    <w:name w:val="Intense Emphasis1"/>
    <w:uiPriority w:val="21"/>
    <w:qFormat/>
    <w:rsid w:val="00DD4A9D"/>
    <w:rPr>
      <w:b/>
      <w:bCs/>
      <w:i/>
      <w:iCs/>
    </w:rPr>
  </w:style>
  <w:style w:type="character" w:customStyle="1" w:styleId="SubtleReference1">
    <w:name w:val="Subtle Reference1"/>
    <w:uiPriority w:val="31"/>
    <w:qFormat/>
    <w:rsid w:val="00DD4A9D"/>
    <w:rPr>
      <w:smallCaps/>
    </w:rPr>
  </w:style>
  <w:style w:type="character" w:customStyle="1" w:styleId="IntenseReference1">
    <w:name w:val="Intense Reference1"/>
    <w:uiPriority w:val="32"/>
    <w:qFormat/>
    <w:rsid w:val="00DD4A9D"/>
    <w:rPr>
      <w:b/>
      <w:bCs/>
      <w:smallCaps/>
    </w:rPr>
  </w:style>
  <w:style w:type="character" w:customStyle="1" w:styleId="BookTitle1">
    <w:name w:val="Book Title1"/>
    <w:uiPriority w:val="33"/>
    <w:qFormat/>
    <w:rsid w:val="00DD4A9D"/>
    <w:rPr>
      <w:i/>
      <w:iCs/>
      <w:smallCaps/>
      <w:spacing w:val="5"/>
    </w:rPr>
  </w:style>
  <w:style w:type="paragraph" w:customStyle="1" w:styleId="TOCHeading1">
    <w:name w:val="TOC Heading1"/>
    <w:basedOn w:val="Heading1"/>
    <w:next w:val="Normal"/>
    <w:uiPriority w:val="39"/>
    <w:semiHidden/>
    <w:unhideWhenUsed/>
    <w:qFormat/>
    <w:rsid w:val="00DD4A9D"/>
    <w:pPr>
      <w:outlineLvl w:val="9"/>
    </w:pPr>
  </w:style>
  <w:style w:type="paragraph" w:customStyle="1" w:styleId="PersonalName">
    <w:name w:val="Personal Name"/>
    <w:basedOn w:val="Title"/>
    <w:rsid w:val="00DD4A9D"/>
    <w:rPr>
      <w:rFonts w:ascii="Arial" w:eastAsia="MS PGothic" w:hAnsi="Arial"/>
      <w:b/>
      <w:caps/>
      <w:color w:val="000000"/>
    </w:rPr>
  </w:style>
  <w:style w:type="table" w:styleId="MediumGrid2-Accent2">
    <w:name w:val="Medium Grid 2 Accent 2"/>
    <w:basedOn w:val="TableNormal"/>
    <w:link w:val="ColorfulGrid-Accent1Char"/>
    <w:uiPriority w:val="29"/>
    <w:rsid w:val="00DD4A9D"/>
    <w:rPr>
      <w:i/>
      <w:iCs/>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MediumGrid3-Accent2">
    <w:name w:val="Medium Grid 3 Accent 2"/>
    <w:basedOn w:val="TableNormal"/>
    <w:link w:val="LightShading-Accent2Char"/>
    <w:uiPriority w:val="30"/>
    <w:rsid w:val="00DD4A9D"/>
    <w:rPr>
      <w:i/>
      <w:iC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NoSpacing">
    <w:name w:val="No Spacing"/>
    <w:uiPriority w:val="99"/>
    <w:qFormat/>
    <w:rsid w:val="00523995"/>
    <w:rPr>
      <w:rFonts w:ascii="Times New Roman" w:eastAsia="Times New Roman" w:hAnsi="Times New Roman"/>
      <w:sz w:val="24"/>
      <w:szCs w:val="24"/>
      <w:lang w:bidi="en-US"/>
    </w:rPr>
  </w:style>
  <w:style w:type="paragraph" w:styleId="IntenseQuote">
    <w:name w:val="Intense Quote"/>
    <w:basedOn w:val="Normal"/>
    <w:next w:val="Normal"/>
    <w:link w:val="IntenseQuoteChar"/>
    <w:qFormat/>
    <w:rsid w:val="00523995"/>
    <w:pPr>
      <w:ind w:left="720" w:right="720"/>
    </w:pPr>
    <w:rPr>
      <w:b/>
      <w:i/>
      <w:szCs w:val="22"/>
    </w:rPr>
  </w:style>
  <w:style w:type="character" w:customStyle="1" w:styleId="IntenseQuoteChar">
    <w:name w:val="Intense Quote Char"/>
    <w:basedOn w:val="DefaultParagraphFont"/>
    <w:link w:val="IntenseQuote"/>
    <w:rsid w:val="00523995"/>
    <w:rPr>
      <w:rFonts w:ascii="Times New Roman" w:eastAsia="Times New Roman" w:hAnsi="Times New Roman"/>
      <w:b/>
      <w:i/>
      <w:sz w:val="24"/>
      <w:lang w:bidi="en-US"/>
    </w:rPr>
  </w:style>
  <w:style w:type="paragraph" w:styleId="Quote">
    <w:name w:val="Quote"/>
    <w:basedOn w:val="Normal"/>
    <w:next w:val="Normal"/>
    <w:link w:val="QuoteChar"/>
    <w:qFormat/>
    <w:rsid w:val="00523995"/>
    <w:pPr>
      <w:ind w:left="432" w:right="432"/>
    </w:pPr>
    <w:rPr>
      <w:i/>
    </w:rPr>
  </w:style>
  <w:style w:type="character" w:customStyle="1" w:styleId="QuoteChar">
    <w:name w:val="Quote Char"/>
    <w:basedOn w:val="DefaultParagraphFont"/>
    <w:link w:val="Quote"/>
    <w:rsid w:val="00523995"/>
    <w:rPr>
      <w:rFonts w:ascii="Times New Roman" w:eastAsia="Times New Roman" w:hAnsi="Times New Roman"/>
      <w:i/>
      <w:sz w:val="24"/>
      <w:szCs w:val="24"/>
      <w:lang w:bidi="en-US"/>
    </w:rPr>
  </w:style>
  <w:style w:type="character" w:styleId="SubtleEmphasis">
    <w:name w:val="Subtle Emphasis"/>
    <w:basedOn w:val="DefaultParagraphFont"/>
    <w:uiPriority w:val="65"/>
    <w:qFormat/>
    <w:rsid w:val="00801F82"/>
    <w:rPr>
      <w:i/>
      <w:iCs/>
      <w:color w:val="808080" w:themeColor="text1" w:themeTint="7F"/>
    </w:rPr>
  </w:style>
  <w:style w:type="table" w:styleId="TableGrid">
    <w:name w:val="Table Grid"/>
    <w:basedOn w:val="TableNormal"/>
    <w:uiPriority w:val="59"/>
    <w:rsid w:val="00247F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Cambria" w:eastAsia="Cambria" w:hAnsi="Cambria" w:cs="Times New Roman"/>
        <w:sz w:val="22"/>
        <w:szCs w:val="22"/>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semiHidden="0" w:uiPriority="0" w:unhideWhenUsed="0" w:qFormat="1"/>
    <w:lsdException w:name="annotation reference" w:uiPriority="0"/>
    <w:lsdException w:name="Title" w:semiHidden="0" w:uiPriority="0" w:unhideWhenUsed="0" w:qFormat="1"/>
    <w:lsdException w:name="Default Paragraph Font" w:uiPriority="0"/>
    <w:lsdException w:name="Subtitle" w:semiHidden="0" w:uiPriority="0" w:unhideWhenUsed="0" w:qFormat="1"/>
    <w:lsdException w:name="FollowedHyperlink" w:uiPriority="0"/>
    <w:lsdException w:name="Strong" w:semiHidden="0" w:uiPriority="0"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59" w:unhideWhenUsed="0"/>
    <w:lsdException w:name="No Spacing" w:semiHidden="0" w:unhideWhenUsed="0" w:qFormat="1"/>
    <w:lsdException w:name="Medium Grid 1" w:unhideWhenUsed="0"/>
    <w:lsdException w:name="Medium Grid 2"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72" w:unhideWhenUsed="0" w:qFormat="1"/>
    <w:lsdException w:name="Quote" w:semiHidden="0" w:uiPriority="0" w:unhideWhenUsed="0" w:qFormat="1"/>
    <w:lsdException w:name="Intense Quote" w:semiHidden="0" w:uiPriority="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semiHidden="0" w:uiPriority="70" w:unhideWhenUsed="0"/>
    <w:lsdException w:name="TOC Heading" w:uiPriority="71" w:qFormat="1"/>
  </w:latentStyles>
  <w:style w:type="paragraph" w:default="1" w:styleId="Normal">
    <w:name w:val="Normal"/>
    <w:aliases w:val="Normal-paragraph space"/>
    <w:qFormat/>
    <w:rsid w:val="00523995"/>
    <w:pPr>
      <w:spacing w:before="120"/>
    </w:pPr>
    <w:rPr>
      <w:rFonts w:ascii="Times New Roman" w:eastAsia="Times New Roman" w:hAnsi="Times New Roman"/>
      <w:sz w:val="24"/>
      <w:szCs w:val="24"/>
      <w:lang w:bidi="en-US"/>
    </w:rPr>
  </w:style>
  <w:style w:type="paragraph" w:styleId="Heading1">
    <w:name w:val="heading 1"/>
    <w:aliases w:val="Closing figure"/>
    <w:basedOn w:val="Normal"/>
    <w:next w:val="Normal"/>
    <w:link w:val="Heading1Char"/>
    <w:qFormat/>
    <w:rsid w:val="00523995"/>
    <w:pPr>
      <w:keepLines/>
      <w:pBdr>
        <w:left w:val="single" w:sz="6" w:space="0" w:color="auto"/>
        <w:bottom w:val="single" w:sz="6" w:space="0" w:color="auto"/>
        <w:right w:val="single" w:sz="6" w:space="0" w:color="auto"/>
      </w:pBdr>
      <w:spacing w:before="240" w:after="60"/>
      <w:jc w:val="both"/>
      <w:outlineLvl w:val="0"/>
    </w:pPr>
    <w:rPr>
      <w:bCs/>
      <w:kern w:val="32"/>
      <w:szCs w:val="32"/>
    </w:rPr>
  </w:style>
  <w:style w:type="paragraph" w:styleId="Heading2">
    <w:name w:val="heading 2"/>
    <w:basedOn w:val="Normal"/>
    <w:next w:val="Normal"/>
    <w:link w:val="Heading2Char"/>
    <w:qFormat/>
    <w:rsid w:val="00BD4121"/>
    <w:pPr>
      <w:keepNext/>
      <w:spacing w:before="240" w:after="60" w:line="360" w:lineRule="auto"/>
      <w:outlineLvl w:val="1"/>
    </w:pPr>
    <w:rPr>
      <w:bCs/>
      <w:iCs/>
      <w:sz w:val="28"/>
      <w:szCs w:val="28"/>
    </w:rPr>
  </w:style>
  <w:style w:type="paragraph" w:styleId="Heading3">
    <w:name w:val="heading 3"/>
    <w:basedOn w:val="Normal"/>
    <w:next w:val="Normal"/>
    <w:link w:val="Heading3Char"/>
    <w:qFormat/>
    <w:rsid w:val="00523995"/>
    <w:pPr>
      <w:keepNext/>
      <w:spacing w:before="240" w:after="60"/>
      <w:outlineLvl w:val="2"/>
    </w:pPr>
    <w:rPr>
      <w:b/>
      <w:bCs/>
      <w:sz w:val="32"/>
      <w:szCs w:val="26"/>
    </w:rPr>
  </w:style>
  <w:style w:type="paragraph" w:styleId="Heading4">
    <w:name w:val="heading 4"/>
    <w:basedOn w:val="Normal"/>
    <w:next w:val="Normal"/>
    <w:link w:val="Heading4Char"/>
    <w:qFormat/>
    <w:rsid w:val="00523995"/>
    <w:pPr>
      <w:keepNext/>
      <w:spacing w:before="240" w:after="60"/>
      <w:outlineLvl w:val="3"/>
    </w:pPr>
    <w:rPr>
      <w:b/>
      <w:bCs/>
      <w:sz w:val="28"/>
      <w:szCs w:val="28"/>
    </w:rPr>
  </w:style>
  <w:style w:type="paragraph" w:styleId="Heading5">
    <w:name w:val="heading 5"/>
    <w:basedOn w:val="Normal"/>
    <w:next w:val="Normal"/>
    <w:link w:val="Heading5Char"/>
    <w:qFormat/>
    <w:rsid w:val="00523995"/>
    <w:pPr>
      <w:spacing w:before="240" w:after="60"/>
      <w:outlineLvl w:val="4"/>
    </w:pPr>
    <w:rPr>
      <w:b/>
      <w:bCs/>
      <w:i/>
      <w:iCs/>
      <w:sz w:val="26"/>
      <w:szCs w:val="26"/>
    </w:rPr>
  </w:style>
  <w:style w:type="paragraph" w:styleId="Heading6">
    <w:name w:val="heading 6"/>
    <w:basedOn w:val="Normal"/>
    <w:next w:val="Normal"/>
    <w:link w:val="Heading6Char"/>
    <w:qFormat/>
    <w:rsid w:val="00523995"/>
    <w:pPr>
      <w:spacing w:before="240" w:after="60"/>
      <w:outlineLvl w:val="5"/>
    </w:pPr>
    <w:rPr>
      <w:b/>
      <w:bCs/>
      <w:sz w:val="22"/>
      <w:szCs w:val="22"/>
    </w:rPr>
  </w:style>
  <w:style w:type="paragraph" w:styleId="Heading7">
    <w:name w:val="heading 7"/>
    <w:basedOn w:val="Normal"/>
    <w:next w:val="Normal"/>
    <w:link w:val="Heading7Char"/>
    <w:qFormat/>
    <w:rsid w:val="00523995"/>
    <w:pPr>
      <w:spacing w:before="240" w:after="60"/>
      <w:outlineLvl w:val="6"/>
    </w:pPr>
  </w:style>
  <w:style w:type="paragraph" w:styleId="Heading8">
    <w:name w:val="heading 8"/>
    <w:aliases w:val="tc"/>
    <w:basedOn w:val="Normal"/>
    <w:next w:val="Normal"/>
    <w:link w:val="Heading8Char"/>
    <w:qFormat/>
    <w:rsid w:val="00523995"/>
    <w:pPr>
      <w:keepNext/>
      <w:keepLines/>
      <w:pBdr>
        <w:top w:val="single" w:sz="6" w:space="0" w:color="auto"/>
      </w:pBdr>
      <w:spacing w:before="360" w:after="120" w:line="480" w:lineRule="auto"/>
      <w:ind w:left="1440" w:hanging="1440"/>
      <w:jc w:val="both"/>
      <w:outlineLvl w:val="7"/>
    </w:pPr>
    <w:rPr>
      <w:rFonts w:ascii="Arial" w:hAnsi="Arial"/>
      <w:sz w:val="20"/>
      <w:szCs w:val="20"/>
      <w:lang w:bidi="ar-SA"/>
    </w:rPr>
  </w:style>
  <w:style w:type="paragraph" w:styleId="Heading9">
    <w:name w:val="heading 9"/>
    <w:aliases w:val="fc"/>
    <w:basedOn w:val="Normal"/>
    <w:next w:val="Normal"/>
    <w:link w:val="Heading9Char"/>
    <w:qFormat/>
    <w:rsid w:val="00523995"/>
    <w:pPr>
      <w:keepLines/>
      <w:pBdr>
        <w:left w:val="single" w:sz="2" w:space="0" w:color="auto"/>
        <w:bottom w:val="single" w:sz="6" w:space="0" w:color="auto"/>
        <w:right w:val="single" w:sz="6" w:space="0" w:color="auto"/>
      </w:pBdr>
      <w:tabs>
        <w:tab w:val="left" w:pos="1260"/>
      </w:tabs>
      <w:spacing w:after="120"/>
      <w:jc w:val="both"/>
      <w:outlineLvl w:val="8"/>
    </w:pPr>
    <w:rPr>
      <w:szCs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losing figure Char"/>
    <w:basedOn w:val="DefaultParagraphFont"/>
    <w:link w:val="Heading1"/>
    <w:rsid w:val="00DD4A9D"/>
    <w:rPr>
      <w:rFonts w:ascii="Times New Roman" w:eastAsia="Times New Roman" w:hAnsi="Times New Roman"/>
      <w:bCs/>
      <w:kern w:val="32"/>
      <w:sz w:val="24"/>
      <w:szCs w:val="32"/>
      <w:lang w:bidi="en-US"/>
    </w:rPr>
  </w:style>
  <w:style w:type="character" w:customStyle="1" w:styleId="Heading2Char">
    <w:name w:val="Heading 2 Char"/>
    <w:basedOn w:val="DefaultParagraphFont"/>
    <w:link w:val="Heading2"/>
    <w:rsid w:val="00BD4121"/>
    <w:rPr>
      <w:rFonts w:ascii="Times New Roman" w:eastAsia="Times New Roman" w:hAnsi="Times New Roman"/>
      <w:bCs/>
      <w:iCs/>
      <w:sz w:val="28"/>
      <w:szCs w:val="28"/>
      <w:lang w:bidi="en-US"/>
    </w:rPr>
  </w:style>
  <w:style w:type="character" w:customStyle="1" w:styleId="Heading3Char">
    <w:name w:val="Heading 3 Char"/>
    <w:basedOn w:val="DefaultParagraphFont"/>
    <w:link w:val="Heading3"/>
    <w:rsid w:val="00DD4A9D"/>
    <w:rPr>
      <w:rFonts w:ascii="Times New Roman" w:eastAsia="Times New Roman" w:hAnsi="Times New Roman"/>
      <w:b/>
      <w:bCs/>
      <w:sz w:val="32"/>
      <w:szCs w:val="26"/>
      <w:lang w:bidi="en-US"/>
    </w:rPr>
  </w:style>
  <w:style w:type="character" w:customStyle="1" w:styleId="Heading4Char">
    <w:name w:val="Heading 4 Char"/>
    <w:basedOn w:val="DefaultParagraphFont"/>
    <w:link w:val="Heading4"/>
    <w:rsid w:val="00DD4A9D"/>
    <w:rPr>
      <w:rFonts w:ascii="Times New Roman" w:eastAsia="Times New Roman" w:hAnsi="Times New Roman"/>
      <w:b/>
      <w:bCs/>
      <w:sz w:val="28"/>
      <w:szCs w:val="28"/>
      <w:lang w:bidi="en-US"/>
    </w:rPr>
  </w:style>
  <w:style w:type="character" w:customStyle="1" w:styleId="Heading5Char">
    <w:name w:val="Heading 5 Char"/>
    <w:basedOn w:val="DefaultParagraphFont"/>
    <w:link w:val="Heading5"/>
    <w:rsid w:val="00DD4A9D"/>
    <w:rPr>
      <w:rFonts w:ascii="Times New Roman" w:eastAsia="Times New Roman" w:hAnsi="Times New Roman"/>
      <w:b/>
      <w:bCs/>
      <w:i/>
      <w:iCs/>
      <w:sz w:val="26"/>
      <w:szCs w:val="26"/>
      <w:lang w:bidi="en-US"/>
    </w:rPr>
  </w:style>
  <w:style w:type="character" w:customStyle="1" w:styleId="Heading6Char">
    <w:name w:val="Heading 6 Char"/>
    <w:basedOn w:val="DefaultParagraphFont"/>
    <w:link w:val="Heading6"/>
    <w:rsid w:val="00DD4A9D"/>
    <w:rPr>
      <w:rFonts w:ascii="Times New Roman" w:eastAsia="Times New Roman" w:hAnsi="Times New Roman"/>
      <w:b/>
      <w:bCs/>
      <w:lang w:bidi="en-US"/>
    </w:rPr>
  </w:style>
  <w:style w:type="character" w:customStyle="1" w:styleId="Heading7Char">
    <w:name w:val="Heading 7 Char"/>
    <w:basedOn w:val="DefaultParagraphFont"/>
    <w:link w:val="Heading7"/>
    <w:rsid w:val="00DD4A9D"/>
    <w:rPr>
      <w:rFonts w:ascii="Times New Roman" w:eastAsia="Times New Roman" w:hAnsi="Times New Roman"/>
      <w:sz w:val="24"/>
      <w:szCs w:val="24"/>
      <w:lang w:bidi="en-US"/>
    </w:rPr>
  </w:style>
  <w:style w:type="character" w:customStyle="1" w:styleId="Heading8Char">
    <w:name w:val="Heading 8 Char"/>
    <w:aliases w:val="tc Char"/>
    <w:basedOn w:val="DefaultParagraphFont"/>
    <w:link w:val="Heading8"/>
    <w:rsid w:val="00DD4A9D"/>
    <w:rPr>
      <w:rFonts w:ascii="Arial" w:eastAsia="Times New Roman" w:hAnsi="Arial"/>
      <w:sz w:val="20"/>
      <w:szCs w:val="20"/>
    </w:rPr>
  </w:style>
  <w:style w:type="character" w:customStyle="1" w:styleId="Heading9Char">
    <w:name w:val="Heading 9 Char"/>
    <w:aliases w:val="fc Char"/>
    <w:basedOn w:val="DefaultParagraphFont"/>
    <w:link w:val="Heading9"/>
    <w:rsid w:val="00DD4A9D"/>
    <w:rPr>
      <w:rFonts w:ascii="Times New Roman" w:eastAsia="Times New Roman" w:hAnsi="Times New Roman"/>
      <w:sz w:val="24"/>
      <w:szCs w:val="20"/>
    </w:rPr>
  </w:style>
  <w:style w:type="character" w:customStyle="1" w:styleId="FootnoteTextChar">
    <w:name w:val="Footnote Text Char"/>
    <w:link w:val="FootnoteText"/>
    <w:locked/>
    <w:rsid w:val="00DD4A9D"/>
    <w:rPr>
      <w:rFonts w:ascii="Times New Roman" w:eastAsia="Times New Roman" w:hAnsi="Times New Roman"/>
      <w:sz w:val="20"/>
      <w:szCs w:val="20"/>
      <w:lang w:bidi="en-US"/>
    </w:rPr>
  </w:style>
  <w:style w:type="paragraph" w:styleId="FootnoteText">
    <w:name w:val="footnote text"/>
    <w:basedOn w:val="Normal"/>
    <w:link w:val="FootnoteTextChar"/>
    <w:rsid w:val="00523995"/>
    <w:rPr>
      <w:sz w:val="20"/>
      <w:szCs w:val="20"/>
    </w:rPr>
  </w:style>
  <w:style w:type="character" w:customStyle="1" w:styleId="FootnoteTextChar1">
    <w:name w:val="Footnote Text Char1"/>
    <w:basedOn w:val="DefaultParagraphFont"/>
    <w:uiPriority w:val="99"/>
    <w:semiHidden/>
    <w:rsid w:val="00DD4A9D"/>
    <w:rPr>
      <w:rFonts w:ascii="Calibri" w:eastAsia="MS Gothic" w:hAnsi="Calibri" w:cs="Times New Roman"/>
    </w:rPr>
  </w:style>
  <w:style w:type="character" w:customStyle="1" w:styleId="HeaderChar">
    <w:name w:val="Header Char"/>
    <w:link w:val="Header"/>
    <w:locked/>
    <w:rsid w:val="00DD4A9D"/>
    <w:rPr>
      <w:rFonts w:ascii="Times New Roman" w:eastAsia="Times New Roman" w:hAnsi="Times New Roman"/>
      <w:sz w:val="24"/>
      <w:szCs w:val="24"/>
      <w:lang w:bidi="en-US"/>
    </w:rPr>
  </w:style>
  <w:style w:type="paragraph" w:styleId="Header">
    <w:name w:val="header"/>
    <w:basedOn w:val="Normal"/>
    <w:link w:val="HeaderChar"/>
    <w:rsid w:val="00523995"/>
    <w:pPr>
      <w:tabs>
        <w:tab w:val="center" w:pos="4680"/>
        <w:tab w:val="right" w:pos="9360"/>
      </w:tabs>
    </w:pPr>
  </w:style>
  <w:style w:type="character" w:customStyle="1" w:styleId="HeaderChar1">
    <w:name w:val="Header Char1"/>
    <w:basedOn w:val="DefaultParagraphFont"/>
    <w:uiPriority w:val="99"/>
    <w:semiHidden/>
    <w:rsid w:val="00DD4A9D"/>
    <w:rPr>
      <w:rFonts w:ascii="Calibri" w:eastAsia="MS Gothic" w:hAnsi="Calibri" w:cs="Times New Roman"/>
      <w:sz w:val="22"/>
      <w:szCs w:val="22"/>
    </w:rPr>
  </w:style>
  <w:style w:type="character" w:customStyle="1" w:styleId="FooterChar">
    <w:name w:val="Footer Char"/>
    <w:link w:val="Footer"/>
    <w:locked/>
    <w:rsid w:val="00DD4A9D"/>
    <w:rPr>
      <w:rFonts w:ascii="Times New Roman" w:eastAsia="Times New Roman" w:hAnsi="Times New Roman"/>
      <w:sz w:val="24"/>
      <w:szCs w:val="24"/>
      <w:lang w:bidi="en-US"/>
    </w:rPr>
  </w:style>
  <w:style w:type="paragraph" w:styleId="Footer">
    <w:name w:val="footer"/>
    <w:basedOn w:val="Normal"/>
    <w:link w:val="FooterChar"/>
    <w:rsid w:val="00523995"/>
    <w:pPr>
      <w:tabs>
        <w:tab w:val="center" w:pos="4680"/>
        <w:tab w:val="right" w:pos="9360"/>
      </w:tabs>
    </w:pPr>
  </w:style>
  <w:style w:type="character" w:customStyle="1" w:styleId="FooterChar1">
    <w:name w:val="Footer Char1"/>
    <w:basedOn w:val="DefaultParagraphFont"/>
    <w:uiPriority w:val="99"/>
    <w:semiHidden/>
    <w:rsid w:val="00DD4A9D"/>
    <w:rPr>
      <w:rFonts w:ascii="Calibri" w:eastAsia="MS Gothic" w:hAnsi="Calibri" w:cs="Times New Roman"/>
      <w:sz w:val="22"/>
      <w:szCs w:val="22"/>
    </w:rPr>
  </w:style>
  <w:style w:type="character" w:customStyle="1" w:styleId="TitleChar">
    <w:name w:val="Title Char"/>
    <w:link w:val="Title"/>
    <w:locked/>
    <w:rsid w:val="00801F82"/>
    <w:rPr>
      <w:rFonts w:ascii="Times New Roman" w:eastAsia="Times New Roman" w:hAnsi="Times New Roman"/>
      <w:bCs/>
      <w:kern w:val="28"/>
      <w:sz w:val="28"/>
      <w:szCs w:val="28"/>
      <w:lang w:bidi="en-US"/>
    </w:rPr>
  </w:style>
  <w:style w:type="paragraph" w:styleId="Title">
    <w:name w:val="Title"/>
    <w:basedOn w:val="Normal"/>
    <w:next w:val="Normal"/>
    <w:link w:val="TitleChar"/>
    <w:qFormat/>
    <w:rsid w:val="00801F82"/>
    <w:pPr>
      <w:spacing w:before="240" w:after="60"/>
      <w:jc w:val="center"/>
      <w:outlineLvl w:val="0"/>
    </w:pPr>
    <w:rPr>
      <w:bCs/>
      <w:kern w:val="28"/>
      <w:sz w:val="28"/>
      <w:szCs w:val="28"/>
    </w:rPr>
  </w:style>
  <w:style w:type="character" w:customStyle="1" w:styleId="TitleChar1">
    <w:name w:val="Title Char1"/>
    <w:basedOn w:val="DefaultParagraphFont"/>
    <w:uiPriority w:val="10"/>
    <w:rsid w:val="00DD4A9D"/>
    <w:rPr>
      <w:rFonts w:ascii="Calibri" w:eastAsia="Times New Roman" w:hAnsi="Calibri" w:cs="Times New Roman"/>
      <w:color w:val="183A63"/>
      <w:spacing w:val="5"/>
      <w:kern w:val="28"/>
      <w:sz w:val="52"/>
      <w:szCs w:val="52"/>
    </w:rPr>
  </w:style>
  <w:style w:type="character" w:customStyle="1" w:styleId="SubtitleChar">
    <w:name w:val="Subtitle Char"/>
    <w:link w:val="Subtitle"/>
    <w:locked/>
    <w:rsid w:val="00DD4A9D"/>
    <w:rPr>
      <w:rFonts w:eastAsia="Times New Roman"/>
      <w:sz w:val="24"/>
      <w:szCs w:val="24"/>
      <w:lang w:bidi="en-US"/>
    </w:rPr>
  </w:style>
  <w:style w:type="paragraph" w:styleId="Subtitle">
    <w:name w:val="Subtitle"/>
    <w:basedOn w:val="Normal"/>
    <w:next w:val="Normal"/>
    <w:link w:val="SubtitleChar"/>
    <w:qFormat/>
    <w:rsid w:val="00523995"/>
    <w:pPr>
      <w:spacing w:after="60"/>
      <w:jc w:val="center"/>
      <w:outlineLvl w:val="1"/>
    </w:pPr>
    <w:rPr>
      <w:rFonts w:ascii="Cambria" w:hAnsi="Cambria"/>
    </w:rPr>
  </w:style>
  <w:style w:type="character" w:customStyle="1" w:styleId="SubtitleChar1">
    <w:name w:val="Subtitle Char1"/>
    <w:basedOn w:val="DefaultParagraphFont"/>
    <w:uiPriority w:val="11"/>
    <w:rsid w:val="00DD4A9D"/>
    <w:rPr>
      <w:rFonts w:ascii="Calibri" w:eastAsia="Times New Roman" w:hAnsi="Calibri" w:cs="Times New Roman"/>
      <w:i/>
      <w:iCs/>
      <w:color w:val="4F81BD"/>
      <w:spacing w:val="15"/>
    </w:rPr>
  </w:style>
  <w:style w:type="character" w:customStyle="1" w:styleId="NoSpacingChar">
    <w:name w:val="No Spacing Char"/>
    <w:link w:val="a"/>
    <w:locked/>
    <w:rsid w:val="00DD4A9D"/>
    <w:rPr>
      <w:rFonts w:ascii="Times New Roman" w:eastAsia="Times New Roman" w:hAnsi="Times New Roman"/>
      <w:sz w:val="24"/>
      <w:szCs w:val="32"/>
      <w:lang w:bidi="en-US"/>
    </w:rPr>
  </w:style>
  <w:style w:type="paragraph" w:customStyle="1" w:styleId="a">
    <w:basedOn w:val="Normal"/>
    <w:next w:val="NoSpacing"/>
    <w:link w:val="NoSpacingChar"/>
    <w:qFormat/>
    <w:rsid w:val="00523995"/>
    <w:rPr>
      <w:szCs w:val="32"/>
    </w:rPr>
  </w:style>
  <w:style w:type="character" w:customStyle="1" w:styleId="ColorfulGrid-Accent1Char">
    <w:name w:val="Colorful Grid - Accent 1 Char"/>
    <w:link w:val="MediumGrid2-Accent2"/>
    <w:uiPriority w:val="29"/>
    <w:locked/>
    <w:rsid w:val="00DD4A9D"/>
    <w:rPr>
      <w:i/>
      <w:iCs/>
    </w:rPr>
  </w:style>
  <w:style w:type="character" w:customStyle="1" w:styleId="LightShading-Accent2Char">
    <w:name w:val="Light Shading - Accent 2 Char"/>
    <w:link w:val="MediumGrid3-Accent2"/>
    <w:uiPriority w:val="30"/>
    <w:locked/>
    <w:rsid w:val="00DD4A9D"/>
    <w:rPr>
      <w:i/>
      <w:iCs/>
    </w:rPr>
  </w:style>
  <w:style w:type="paragraph" w:customStyle="1" w:styleId="Graph">
    <w:name w:val="Graph"/>
    <w:basedOn w:val="NoSpacing"/>
    <w:autoRedefine/>
    <w:rsid w:val="00523995"/>
    <w:pPr>
      <w:pBdr>
        <w:top w:val="single" w:sz="4" w:space="1" w:color="auto"/>
        <w:left w:val="single" w:sz="4" w:space="4" w:color="auto"/>
        <w:bottom w:val="single" w:sz="4" w:space="1" w:color="auto"/>
        <w:right w:val="single" w:sz="4" w:space="4" w:color="auto"/>
      </w:pBdr>
      <w:spacing w:before="120"/>
    </w:pPr>
    <w:rPr>
      <w:rFonts w:eastAsia="Calibri"/>
      <w:lang w:bidi="ar-SA"/>
    </w:rPr>
  </w:style>
  <w:style w:type="character" w:styleId="Hyperlink">
    <w:name w:val="Hyperlink"/>
    <w:basedOn w:val="DefaultParagraphFont"/>
    <w:uiPriority w:val="99"/>
    <w:rsid w:val="00523995"/>
    <w:rPr>
      <w:color w:val="0000FF"/>
      <w:u w:val="single"/>
    </w:rPr>
  </w:style>
  <w:style w:type="character" w:styleId="Strong">
    <w:name w:val="Strong"/>
    <w:basedOn w:val="DefaultParagraphFont"/>
    <w:qFormat/>
    <w:rsid w:val="00523995"/>
    <w:rPr>
      <w:b/>
      <w:bCs/>
    </w:rPr>
  </w:style>
  <w:style w:type="paragraph" w:customStyle="1" w:styleId="Equation">
    <w:name w:val="Equation"/>
    <w:basedOn w:val="Normal"/>
    <w:rsid w:val="00523995"/>
    <w:pPr>
      <w:tabs>
        <w:tab w:val="center" w:pos="3600"/>
        <w:tab w:val="left" w:pos="7200"/>
      </w:tabs>
      <w:spacing w:after="120"/>
    </w:pPr>
    <w:rPr>
      <w:noProof/>
    </w:rPr>
  </w:style>
  <w:style w:type="character" w:styleId="CommentReference">
    <w:name w:val="annotation reference"/>
    <w:basedOn w:val="DefaultParagraphFont"/>
    <w:semiHidden/>
    <w:rsid w:val="00523995"/>
    <w:rPr>
      <w:sz w:val="16"/>
      <w:szCs w:val="16"/>
    </w:rPr>
  </w:style>
  <w:style w:type="paragraph" w:customStyle="1" w:styleId="figure">
    <w:name w:val="figure"/>
    <w:basedOn w:val="Normal"/>
    <w:next w:val="Heading9"/>
    <w:rsid w:val="00523995"/>
    <w:pPr>
      <w:keepNext/>
      <w:keepLines/>
      <w:pBdr>
        <w:top w:val="single" w:sz="2" w:space="0" w:color="auto"/>
        <w:left w:val="single" w:sz="2" w:space="0" w:color="auto"/>
        <w:right w:val="single" w:sz="6" w:space="0" w:color="auto"/>
      </w:pBdr>
      <w:spacing w:after="120" w:line="480" w:lineRule="auto"/>
      <w:jc w:val="center"/>
    </w:pPr>
    <w:rPr>
      <w:rFonts w:ascii="Arial" w:hAnsi="Arial"/>
      <w:sz w:val="20"/>
      <w:szCs w:val="20"/>
      <w:lang w:bidi="ar-SA"/>
    </w:rPr>
  </w:style>
  <w:style w:type="paragraph" w:customStyle="1" w:styleId="Table">
    <w:name w:val="Table"/>
    <w:basedOn w:val="Normal"/>
    <w:autoRedefine/>
    <w:rsid w:val="00523995"/>
    <w:pPr>
      <w:jc w:val="center"/>
    </w:pPr>
    <w:rPr>
      <w:rFonts w:ascii="Calibri" w:eastAsia="Calibri" w:hAnsi="Calibri"/>
      <w:sz w:val="22"/>
      <w:szCs w:val="22"/>
      <w:lang w:bidi="ar-SA"/>
    </w:rPr>
  </w:style>
  <w:style w:type="character" w:customStyle="1" w:styleId="il">
    <w:name w:val="il"/>
    <w:basedOn w:val="DefaultParagraphFont"/>
    <w:rsid w:val="00523995"/>
  </w:style>
  <w:style w:type="paragraph" w:customStyle="1" w:styleId="a0">
    <w:basedOn w:val="Normal"/>
    <w:next w:val="Normal"/>
    <w:rsid w:val="00523995"/>
    <w:pPr>
      <w:spacing w:after="120"/>
    </w:pPr>
  </w:style>
  <w:style w:type="paragraph" w:styleId="CommentText">
    <w:name w:val="annotation text"/>
    <w:basedOn w:val="Normal"/>
    <w:link w:val="CommentTextChar"/>
    <w:semiHidden/>
    <w:rsid w:val="00523995"/>
    <w:rPr>
      <w:sz w:val="20"/>
      <w:szCs w:val="20"/>
    </w:rPr>
  </w:style>
  <w:style w:type="character" w:customStyle="1" w:styleId="CommentTextChar">
    <w:name w:val="Comment Text Char"/>
    <w:basedOn w:val="DefaultParagraphFont"/>
    <w:link w:val="CommentText"/>
    <w:semiHidden/>
    <w:rsid w:val="00DD4A9D"/>
    <w:rPr>
      <w:rFonts w:ascii="Times New Roman" w:eastAsia="Times New Roman" w:hAnsi="Times New Roman"/>
      <w:sz w:val="20"/>
      <w:szCs w:val="20"/>
      <w:lang w:bidi="en-US"/>
    </w:rPr>
  </w:style>
  <w:style w:type="paragraph" w:styleId="BalloonText">
    <w:name w:val="Balloon Text"/>
    <w:basedOn w:val="Normal"/>
    <w:link w:val="BalloonTextChar"/>
    <w:rsid w:val="00523995"/>
    <w:pPr>
      <w:spacing w:before="0"/>
    </w:pPr>
    <w:rPr>
      <w:rFonts w:ascii="Tahoma" w:hAnsi="Tahoma" w:cs="Tahoma"/>
      <w:sz w:val="16"/>
      <w:szCs w:val="16"/>
    </w:rPr>
  </w:style>
  <w:style w:type="character" w:customStyle="1" w:styleId="BalloonTextChar">
    <w:name w:val="Balloon Text Char"/>
    <w:basedOn w:val="DefaultParagraphFont"/>
    <w:link w:val="BalloonText"/>
    <w:rsid w:val="00DD4A9D"/>
    <w:rPr>
      <w:rFonts w:ascii="Tahoma" w:eastAsia="Times New Roman" w:hAnsi="Tahoma" w:cs="Tahoma"/>
      <w:sz w:val="16"/>
      <w:szCs w:val="16"/>
      <w:lang w:bidi="en-US"/>
    </w:rPr>
  </w:style>
  <w:style w:type="paragraph" w:styleId="CommentSubject">
    <w:name w:val="annotation subject"/>
    <w:basedOn w:val="CommentText"/>
    <w:next w:val="CommentText"/>
    <w:link w:val="CommentSubjectChar"/>
    <w:rsid w:val="00523995"/>
    <w:rPr>
      <w:b/>
      <w:bCs/>
    </w:rPr>
  </w:style>
  <w:style w:type="character" w:customStyle="1" w:styleId="CommentSubjectChar">
    <w:name w:val="Comment Subject Char"/>
    <w:basedOn w:val="CommentTextChar"/>
    <w:link w:val="CommentSubject"/>
    <w:rsid w:val="00DD4A9D"/>
    <w:rPr>
      <w:rFonts w:ascii="Times New Roman" w:eastAsia="Times New Roman" w:hAnsi="Times New Roman"/>
      <w:b/>
      <w:bCs/>
      <w:sz w:val="20"/>
      <w:szCs w:val="20"/>
      <w:lang w:bidi="en-US"/>
    </w:rPr>
  </w:style>
  <w:style w:type="paragraph" w:styleId="Caption">
    <w:name w:val="caption"/>
    <w:basedOn w:val="Normal"/>
    <w:next w:val="Normal"/>
    <w:qFormat/>
    <w:rsid w:val="00523995"/>
    <w:rPr>
      <w:b/>
      <w:bCs/>
      <w:sz w:val="20"/>
      <w:szCs w:val="20"/>
    </w:rPr>
  </w:style>
  <w:style w:type="character" w:styleId="FollowedHyperlink">
    <w:name w:val="FollowedHyperlink"/>
    <w:basedOn w:val="DefaultParagraphFont"/>
    <w:rsid w:val="00523995"/>
    <w:rPr>
      <w:color w:val="800080"/>
      <w:u w:val="single"/>
    </w:rPr>
  </w:style>
  <w:style w:type="paragraph" w:styleId="DocumentMap">
    <w:name w:val="Document Map"/>
    <w:basedOn w:val="Normal"/>
    <w:link w:val="DocumentMapChar"/>
    <w:rsid w:val="00523995"/>
    <w:rPr>
      <w:rFonts w:ascii="Tahoma" w:hAnsi="Tahoma" w:cs="Tahoma"/>
      <w:sz w:val="16"/>
      <w:szCs w:val="16"/>
    </w:rPr>
  </w:style>
  <w:style w:type="character" w:customStyle="1" w:styleId="DocumentMapChar">
    <w:name w:val="Document Map Char"/>
    <w:basedOn w:val="DefaultParagraphFont"/>
    <w:link w:val="DocumentMap"/>
    <w:rsid w:val="00DD4A9D"/>
    <w:rPr>
      <w:rFonts w:ascii="Tahoma" w:eastAsia="Times New Roman" w:hAnsi="Tahoma" w:cs="Tahoma"/>
      <w:sz w:val="16"/>
      <w:szCs w:val="16"/>
      <w:lang w:bidi="en-US"/>
    </w:rPr>
  </w:style>
  <w:style w:type="paragraph" w:customStyle="1" w:styleId="indent">
    <w:name w:val="indent"/>
    <w:basedOn w:val="Normal"/>
    <w:link w:val="indentChar"/>
    <w:qFormat/>
    <w:rsid w:val="00523995"/>
    <w:pPr>
      <w:spacing w:line="480" w:lineRule="auto"/>
      <w:ind w:firstLine="360"/>
      <w:jc w:val="both"/>
    </w:pPr>
    <w:rPr>
      <w:szCs w:val="20"/>
    </w:rPr>
  </w:style>
  <w:style w:type="paragraph" w:customStyle="1" w:styleId="reference">
    <w:name w:val="reference"/>
    <w:basedOn w:val="Normal"/>
    <w:rsid w:val="00DD4A9D"/>
    <w:pPr>
      <w:spacing w:before="80" w:line="480" w:lineRule="auto"/>
      <w:ind w:left="320" w:hanging="320"/>
      <w:jc w:val="both"/>
    </w:pPr>
    <w:rPr>
      <w:szCs w:val="20"/>
    </w:rPr>
  </w:style>
  <w:style w:type="character" w:customStyle="1" w:styleId="indentChar">
    <w:name w:val="indent Char"/>
    <w:link w:val="indent"/>
    <w:locked/>
    <w:rsid w:val="00523995"/>
    <w:rPr>
      <w:rFonts w:ascii="Calibri" w:eastAsia="MS Gothic" w:hAnsi="Calibri"/>
      <w:sz w:val="24"/>
    </w:rPr>
  </w:style>
  <w:style w:type="character" w:customStyle="1" w:styleId="apple-converted-space">
    <w:name w:val="apple-converted-space"/>
    <w:basedOn w:val="DefaultParagraphFont"/>
    <w:rsid w:val="00DD4A9D"/>
  </w:style>
  <w:style w:type="character" w:customStyle="1" w:styleId="apple-style-span">
    <w:name w:val="apple-style-span"/>
    <w:basedOn w:val="DefaultParagraphFont"/>
    <w:rsid w:val="00DD4A9D"/>
  </w:style>
  <w:style w:type="paragraph" w:customStyle="1" w:styleId="Body">
    <w:name w:val="Body"/>
    <w:rsid w:val="00DD4A9D"/>
    <w:pPr>
      <w:spacing w:after="200" w:line="276" w:lineRule="auto"/>
    </w:pPr>
    <w:rPr>
      <w:rFonts w:ascii="Helvetica" w:eastAsia="ヒラギノ角ゴ Pro W3" w:hAnsi="Helvetica"/>
      <w:color w:val="000000"/>
      <w:sz w:val="24"/>
    </w:rPr>
  </w:style>
  <w:style w:type="paragraph" w:customStyle="1" w:styleId="FreeFormA">
    <w:name w:val="Free Form A"/>
    <w:autoRedefine/>
    <w:rsid w:val="00DD4A9D"/>
    <w:pPr>
      <w:spacing w:after="200" w:line="276" w:lineRule="auto"/>
    </w:pPr>
    <w:rPr>
      <w:rFonts w:ascii="Helvetica" w:eastAsia="ヒラギノ角ゴ Pro W3" w:hAnsi="Helvetica"/>
      <w:color w:val="000000"/>
      <w:sz w:val="24"/>
    </w:rPr>
  </w:style>
  <w:style w:type="character" w:styleId="Emphasis">
    <w:name w:val="Emphasis"/>
    <w:uiPriority w:val="20"/>
    <w:qFormat/>
    <w:rsid w:val="00DD4A9D"/>
    <w:rPr>
      <w:b/>
      <w:bCs/>
      <w:i/>
      <w:iCs/>
      <w:spacing w:val="10"/>
    </w:rPr>
  </w:style>
  <w:style w:type="character" w:customStyle="1" w:styleId="SubtleEmphasis1">
    <w:name w:val="Subtle Emphasis1"/>
    <w:uiPriority w:val="19"/>
    <w:qFormat/>
    <w:rsid w:val="00DD4A9D"/>
    <w:rPr>
      <w:i/>
      <w:iCs/>
    </w:rPr>
  </w:style>
  <w:style w:type="character" w:customStyle="1" w:styleId="IntenseEmphasis1">
    <w:name w:val="Intense Emphasis1"/>
    <w:uiPriority w:val="21"/>
    <w:qFormat/>
    <w:rsid w:val="00DD4A9D"/>
    <w:rPr>
      <w:b/>
      <w:bCs/>
      <w:i/>
      <w:iCs/>
    </w:rPr>
  </w:style>
  <w:style w:type="character" w:customStyle="1" w:styleId="SubtleReference1">
    <w:name w:val="Subtle Reference1"/>
    <w:uiPriority w:val="31"/>
    <w:qFormat/>
    <w:rsid w:val="00DD4A9D"/>
    <w:rPr>
      <w:smallCaps/>
    </w:rPr>
  </w:style>
  <w:style w:type="character" w:customStyle="1" w:styleId="IntenseReference1">
    <w:name w:val="Intense Reference1"/>
    <w:uiPriority w:val="32"/>
    <w:qFormat/>
    <w:rsid w:val="00DD4A9D"/>
    <w:rPr>
      <w:b/>
      <w:bCs/>
      <w:smallCaps/>
    </w:rPr>
  </w:style>
  <w:style w:type="character" w:customStyle="1" w:styleId="BookTitle1">
    <w:name w:val="Book Title1"/>
    <w:uiPriority w:val="33"/>
    <w:qFormat/>
    <w:rsid w:val="00DD4A9D"/>
    <w:rPr>
      <w:i/>
      <w:iCs/>
      <w:smallCaps/>
      <w:spacing w:val="5"/>
    </w:rPr>
  </w:style>
  <w:style w:type="paragraph" w:customStyle="1" w:styleId="TOCHeading1">
    <w:name w:val="TOC Heading1"/>
    <w:basedOn w:val="Heading1"/>
    <w:next w:val="Normal"/>
    <w:uiPriority w:val="39"/>
    <w:semiHidden/>
    <w:unhideWhenUsed/>
    <w:qFormat/>
    <w:rsid w:val="00DD4A9D"/>
    <w:pPr>
      <w:outlineLvl w:val="9"/>
    </w:pPr>
  </w:style>
  <w:style w:type="paragraph" w:customStyle="1" w:styleId="PersonalName">
    <w:name w:val="Personal Name"/>
    <w:basedOn w:val="Title"/>
    <w:rsid w:val="00DD4A9D"/>
    <w:rPr>
      <w:rFonts w:ascii="Arial" w:eastAsia="MS PGothic" w:hAnsi="Arial"/>
      <w:b/>
      <w:caps/>
      <w:color w:val="000000"/>
    </w:rPr>
  </w:style>
  <w:style w:type="table" w:styleId="MediumGrid2-Accent2">
    <w:name w:val="Medium Grid 2 Accent 2"/>
    <w:basedOn w:val="TableNormal"/>
    <w:link w:val="ColorfulGrid-Accent1Char"/>
    <w:uiPriority w:val="29"/>
    <w:rsid w:val="00DD4A9D"/>
    <w:rPr>
      <w:i/>
      <w:iCs/>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MediumGrid3-Accent2">
    <w:name w:val="Medium Grid 3 Accent 2"/>
    <w:basedOn w:val="TableNormal"/>
    <w:link w:val="LightShading-Accent2Char"/>
    <w:uiPriority w:val="30"/>
    <w:rsid w:val="00DD4A9D"/>
    <w:rPr>
      <w:i/>
      <w:iCs/>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tblPr/>
      <w:tcPr>
        <w:tcBorders>
          <w:top w:val="single" w:sz="8" w:space="0" w:color="C0504D"/>
          <w:left w:val="nil"/>
          <w:bottom w:val="single" w:sz="8" w:space="0" w:color="C0504D"/>
          <w:right w:val="nil"/>
          <w:insideH w:val="nil"/>
          <w:insideV w:val="nil"/>
        </w:tcBorders>
      </w:tc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NoSpacing">
    <w:name w:val="No Spacing"/>
    <w:uiPriority w:val="99"/>
    <w:qFormat/>
    <w:rsid w:val="00523995"/>
    <w:rPr>
      <w:rFonts w:ascii="Times New Roman" w:eastAsia="Times New Roman" w:hAnsi="Times New Roman"/>
      <w:sz w:val="24"/>
      <w:szCs w:val="24"/>
      <w:lang w:bidi="en-US"/>
    </w:rPr>
  </w:style>
  <w:style w:type="paragraph" w:styleId="IntenseQuote">
    <w:name w:val="Intense Quote"/>
    <w:basedOn w:val="Normal"/>
    <w:next w:val="Normal"/>
    <w:link w:val="IntenseQuoteChar"/>
    <w:qFormat/>
    <w:rsid w:val="00523995"/>
    <w:pPr>
      <w:ind w:left="720" w:right="720"/>
    </w:pPr>
    <w:rPr>
      <w:b/>
      <w:i/>
      <w:szCs w:val="22"/>
    </w:rPr>
  </w:style>
  <w:style w:type="character" w:customStyle="1" w:styleId="IntenseQuoteChar">
    <w:name w:val="Intense Quote Char"/>
    <w:basedOn w:val="DefaultParagraphFont"/>
    <w:link w:val="IntenseQuote"/>
    <w:rsid w:val="00523995"/>
    <w:rPr>
      <w:rFonts w:ascii="Times New Roman" w:eastAsia="Times New Roman" w:hAnsi="Times New Roman"/>
      <w:b/>
      <w:i/>
      <w:sz w:val="24"/>
      <w:lang w:bidi="en-US"/>
    </w:rPr>
  </w:style>
  <w:style w:type="paragraph" w:styleId="Quote">
    <w:name w:val="Quote"/>
    <w:basedOn w:val="Normal"/>
    <w:next w:val="Normal"/>
    <w:link w:val="QuoteChar"/>
    <w:qFormat/>
    <w:rsid w:val="00523995"/>
    <w:pPr>
      <w:ind w:left="432" w:right="432"/>
    </w:pPr>
    <w:rPr>
      <w:i/>
    </w:rPr>
  </w:style>
  <w:style w:type="character" w:customStyle="1" w:styleId="QuoteChar">
    <w:name w:val="Quote Char"/>
    <w:basedOn w:val="DefaultParagraphFont"/>
    <w:link w:val="Quote"/>
    <w:rsid w:val="00523995"/>
    <w:rPr>
      <w:rFonts w:ascii="Times New Roman" w:eastAsia="Times New Roman" w:hAnsi="Times New Roman"/>
      <w:i/>
      <w:sz w:val="24"/>
      <w:szCs w:val="24"/>
      <w:lang w:bidi="en-US"/>
    </w:rPr>
  </w:style>
  <w:style w:type="character" w:styleId="SubtleEmphasis">
    <w:name w:val="Subtle Emphasis"/>
    <w:basedOn w:val="DefaultParagraphFont"/>
    <w:uiPriority w:val="65"/>
    <w:qFormat/>
    <w:rsid w:val="00801F82"/>
    <w:rPr>
      <w:i/>
      <w:iCs/>
      <w:color w:val="808080" w:themeColor="text1" w:themeTint="7F"/>
    </w:rPr>
  </w:style>
</w:styles>
</file>

<file path=word/webSettings.xml><?xml version="1.0" encoding="utf-8"?>
<w:webSettings xmlns:r="http://schemas.openxmlformats.org/officeDocument/2006/relationships" xmlns:w="http://schemas.openxmlformats.org/wordprocessingml/2006/main">
  <w:divs>
    <w:div w:id="237180659">
      <w:bodyDiv w:val="1"/>
      <w:marLeft w:val="0"/>
      <w:marRight w:val="0"/>
      <w:marTop w:val="0"/>
      <w:marBottom w:val="0"/>
      <w:divBdr>
        <w:top w:val="none" w:sz="0" w:space="0" w:color="auto"/>
        <w:left w:val="none" w:sz="0" w:space="0" w:color="auto"/>
        <w:bottom w:val="none" w:sz="0" w:space="0" w:color="auto"/>
        <w:right w:val="none" w:sz="0" w:space="0" w:color="auto"/>
      </w:divBdr>
    </w:div>
    <w:div w:id="524904511">
      <w:bodyDiv w:val="1"/>
      <w:marLeft w:val="0"/>
      <w:marRight w:val="0"/>
      <w:marTop w:val="0"/>
      <w:marBottom w:val="0"/>
      <w:divBdr>
        <w:top w:val="none" w:sz="0" w:space="0" w:color="auto"/>
        <w:left w:val="none" w:sz="0" w:space="0" w:color="auto"/>
        <w:bottom w:val="none" w:sz="0" w:space="0" w:color="auto"/>
        <w:right w:val="none" w:sz="0" w:space="0" w:color="auto"/>
      </w:divBdr>
    </w:div>
    <w:div w:id="894775672">
      <w:bodyDiv w:val="1"/>
      <w:marLeft w:val="0"/>
      <w:marRight w:val="0"/>
      <w:marTop w:val="0"/>
      <w:marBottom w:val="0"/>
      <w:divBdr>
        <w:top w:val="none" w:sz="0" w:space="0" w:color="auto"/>
        <w:left w:val="none" w:sz="0" w:space="0" w:color="auto"/>
        <w:bottom w:val="none" w:sz="0" w:space="0" w:color="auto"/>
        <w:right w:val="none" w:sz="0" w:space="0" w:color="auto"/>
      </w:divBdr>
    </w:div>
    <w:div w:id="1314990029">
      <w:bodyDiv w:val="1"/>
      <w:marLeft w:val="0"/>
      <w:marRight w:val="0"/>
      <w:marTop w:val="0"/>
      <w:marBottom w:val="0"/>
      <w:divBdr>
        <w:top w:val="none" w:sz="0" w:space="0" w:color="auto"/>
        <w:left w:val="none" w:sz="0" w:space="0" w:color="auto"/>
        <w:bottom w:val="none" w:sz="0" w:space="0" w:color="auto"/>
        <w:right w:val="none" w:sz="0" w:space="0" w:color="auto"/>
      </w:divBdr>
    </w:div>
    <w:div w:id="1527257026">
      <w:bodyDiv w:val="1"/>
      <w:marLeft w:val="0"/>
      <w:marRight w:val="0"/>
      <w:marTop w:val="0"/>
      <w:marBottom w:val="0"/>
      <w:divBdr>
        <w:top w:val="none" w:sz="0" w:space="0" w:color="auto"/>
        <w:left w:val="none" w:sz="0" w:space="0" w:color="auto"/>
        <w:bottom w:val="none" w:sz="0" w:space="0" w:color="auto"/>
        <w:right w:val="none" w:sz="0" w:space="0" w:color="auto"/>
      </w:divBdr>
    </w:div>
    <w:div w:id="1599680946">
      <w:bodyDiv w:val="1"/>
      <w:marLeft w:val="0"/>
      <w:marRight w:val="0"/>
      <w:marTop w:val="0"/>
      <w:marBottom w:val="0"/>
      <w:divBdr>
        <w:top w:val="none" w:sz="0" w:space="0" w:color="auto"/>
        <w:left w:val="none" w:sz="0" w:space="0" w:color="auto"/>
        <w:bottom w:val="none" w:sz="0" w:space="0" w:color="auto"/>
        <w:right w:val="none" w:sz="0" w:space="0" w:color="auto"/>
      </w:divBdr>
    </w:div>
    <w:div w:id="1660038093">
      <w:bodyDiv w:val="1"/>
      <w:marLeft w:val="0"/>
      <w:marRight w:val="0"/>
      <w:marTop w:val="0"/>
      <w:marBottom w:val="0"/>
      <w:divBdr>
        <w:top w:val="none" w:sz="0" w:space="0" w:color="auto"/>
        <w:left w:val="none" w:sz="0" w:space="0" w:color="auto"/>
        <w:bottom w:val="none" w:sz="0" w:space="0" w:color="auto"/>
        <w:right w:val="none" w:sz="0" w:space="0" w:color="auto"/>
      </w:divBdr>
    </w:div>
    <w:div w:id="1866479584">
      <w:bodyDiv w:val="1"/>
      <w:marLeft w:val="0"/>
      <w:marRight w:val="0"/>
      <w:marTop w:val="0"/>
      <w:marBottom w:val="0"/>
      <w:divBdr>
        <w:top w:val="none" w:sz="0" w:space="0" w:color="auto"/>
        <w:left w:val="none" w:sz="0" w:space="0" w:color="auto"/>
        <w:bottom w:val="none" w:sz="0" w:space="0" w:color="auto"/>
        <w:right w:val="none" w:sz="0" w:space="0" w:color="auto"/>
      </w:divBdr>
    </w:div>
    <w:div w:id="1896619233">
      <w:bodyDiv w:val="1"/>
      <w:marLeft w:val="0"/>
      <w:marRight w:val="0"/>
      <w:marTop w:val="0"/>
      <w:marBottom w:val="0"/>
      <w:divBdr>
        <w:top w:val="none" w:sz="0" w:space="0" w:color="auto"/>
        <w:left w:val="none" w:sz="0" w:space="0" w:color="auto"/>
        <w:bottom w:val="none" w:sz="0" w:space="0" w:color="auto"/>
        <w:right w:val="none" w:sz="0" w:space="0" w:color="auto"/>
      </w:divBdr>
    </w:div>
    <w:div w:id="1991523250">
      <w:bodyDiv w:val="1"/>
      <w:marLeft w:val="0"/>
      <w:marRight w:val="0"/>
      <w:marTop w:val="0"/>
      <w:marBottom w:val="0"/>
      <w:divBdr>
        <w:top w:val="none" w:sz="0" w:space="0" w:color="auto"/>
        <w:left w:val="none" w:sz="0" w:space="0" w:color="auto"/>
        <w:bottom w:val="none" w:sz="0" w:space="0" w:color="auto"/>
        <w:right w:val="none" w:sz="0" w:space="0" w:color="auto"/>
      </w:divBdr>
    </w:div>
    <w:div w:id="2051421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header" Target="header1.xml"/><Relationship Id="rId3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chart" Target="charts/chart2.xm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4.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3.wmf"/><Relationship Id="rId28" Type="http://schemas.openxmlformats.org/officeDocument/2006/relationships/footer" Target="footer2.xml"/><Relationship Id="rId10" Type="http://schemas.openxmlformats.org/officeDocument/2006/relationships/image" Target="media/image3.gif"/><Relationship Id="rId19" Type="http://schemas.openxmlformats.org/officeDocument/2006/relationships/chart" Target="charts/chart1.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2.emf"/><Relationship Id="rId27" Type="http://schemas.openxmlformats.org/officeDocument/2006/relationships/footer" Target="footer1.xml"/><Relationship Id="rId30"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Julia\Downloads\TurbidimeterAllData.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Julia\Downloads\TurbidimeterAll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Julia\Downloads\TurbidimeterAllData.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emilyclamp:Documents:Microsoft%20User%20Data:Office%202011%20AutoRecovery:Workbook1%20(version%201).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8"/>
  <c:chart>
    <c:title>
      <c:tx>
        <c:rich>
          <a:bodyPr/>
          <a:lstStyle/>
          <a:p>
            <a:pPr>
              <a:defRPr/>
            </a:pPr>
            <a:r>
              <a:rPr lang="en-US"/>
              <a:t>LED Depth vs. Clay Concentration</a:t>
            </a:r>
          </a:p>
        </c:rich>
      </c:tx>
      <c:layout>
        <c:manualLayout>
          <c:xMode val="edge"/>
          <c:yMode val="edge"/>
          <c:x val="0.199354086763251"/>
          <c:y val="4.935064935064952E-2"/>
        </c:manualLayout>
      </c:layout>
      <c:overlay val="1"/>
    </c:title>
    <c:plotArea>
      <c:layout/>
      <c:scatterChart>
        <c:scatterStyle val="smoothMarker"/>
        <c:ser>
          <c:idx val="0"/>
          <c:order val="0"/>
          <c:tx>
            <c:v>LED - 2 batteries: Design - Secchi Disk</c:v>
          </c:tx>
          <c:trendline>
            <c:trendlineType val="power"/>
            <c:dispRSqr val="1"/>
            <c:dispEq val="1"/>
            <c:trendlineLbl>
              <c:layout>
                <c:manualLayout>
                  <c:x val="0.17181616683606607"/>
                  <c:y val="-0.542072644145288"/>
                </c:manualLayout>
              </c:layout>
              <c:numFmt formatCode="General" sourceLinked="0"/>
              <c:spPr>
                <a:solidFill>
                  <a:schemeClr val="accent1"/>
                </a:solidFill>
              </c:spPr>
            </c:trendlineLbl>
          </c:trendline>
          <c:xVal>
            <c:numRef>
              <c:f>Sheet1!$B$4:$B$13</c:f>
              <c:numCache>
                <c:formatCode>General</c:formatCode>
                <c:ptCount val="10"/>
                <c:pt idx="0">
                  <c:v>35.294117647059046</c:v>
                </c:pt>
                <c:pt idx="1">
                  <c:v>47.058823529411747</c:v>
                </c:pt>
                <c:pt idx="2">
                  <c:v>58.823529411764454</c:v>
                </c:pt>
                <c:pt idx="3">
                  <c:v>70.588235294117666</c:v>
                </c:pt>
                <c:pt idx="4">
                  <c:v>82.352941176469741</c:v>
                </c:pt>
                <c:pt idx="5">
                  <c:v>94.117647058823508</c:v>
                </c:pt>
                <c:pt idx="6">
                  <c:v>105.88235294117648</c:v>
                </c:pt>
                <c:pt idx="7">
                  <c:v>117.64705882352897</c:v>
                </c:pt>
                <c:pt idx="8">
                  <c:v>129.41176470588152</c:v>
                </c:pt>
                <c:pt idx="9">
                  <c:v>141.17647058823584</c:v>
                </c:pt>
              </c:numCache>
            </c:numRef>
          </c:xVal>
          <c:yVal>
            <c:numRef>
              <c:f>Sheet1!$C$4:$C$13</c:f>
              <c:numCache>
                <c:formatCode>General</c:formatCode>
                <c:ptCount val="10"/>
                <c:pt idx="0">
                  <c:v>92</c:v>
                </c:pt>
                <c:pt idx="1">
                  <c:v>70</c:v>
                </c:pt>
                <c:pt idx="2">
                  <c:v>49</c:v>
                </c:pt>
                <c:pt idx="3">
                  <c:v>35</c:v>
                </c:pt>
                <c:pt idx="4">
                  <c:v>28</c:v>
                </c:pt>
                <c:pt idx="5">
                  <c:v>24</c:v>
                </c:pt>
                <c:pt idx="6">
                  <c:v>20</c:v>
                </c:pt>
                <c:pt idx="7">
                  <c:v>16</c:v>
                </c:pt>
                <c:pt idx="8">
                  <c:v>14</c:v>
                </c:pt>
                <c:pt idx="9">
                  <c:v>11</c:v>
                </c:pt>
              </c:numCache>
            </c:numRef>
          </c:yVal>
          <c:smooth val="1"/>
        </c:ser>
        <c:ser>
          <c:idx val="1"/>
          <c:order val="1"/>
          <c:tx>
            <c:v>LED - 1 battery: Design - Secchi Disk</c:v>
          </c:tx>
          <c:trendline>
            <c:trendlineType val="power"/>
            <c:dispRSqr val="1"/>
            <c:dispEq val="1"/>
            <c:trendlineLbl>
              <c:layout>
                <c:manualLayout>
                  <c:x val="3.8520223852267308E-3"/>
                  <c:y val="-0.4523741026429432"/>
                </c:manualLayout>
              </c:layout>
              <c:numFmt formatCode="General" sourceLinked="0"/>
              <c:spPr>
                <a:solidFill>
                  <a:schemeClr val="accent2"/>
                </a:solidFill>
              </c:spPr>
            </c:trendlineLbl>
          </c:trendline>
          <c:xVal>
            <c:numRef>
              <c:f>Sheet1!$B$17:$B$27</c:f>
              <c:numCache>
                <c:formatCode>General</c:formatCode>
                <c:ptCount val="11"/>
                <c:pt idx="0">
                  <c:v>19.607843137254967</c:v>
                </c:pt>
                <c:pt idx="1">
                  <c:v>39.215686274509913</c:v>
                </c:pt>
                <c:pt idx="2">
                  <c:v>58.823529411764454</c:v>
                </c:pt>
                <c:pt idx="3">
                  <c:v>78.431372549019613</c:v>
                </c:pt>
                <c:pt idx="4">
                  <c:v>98.039215686274886</c:v>
                </c:pt>
                <c:pt idx="5">
                  <c:v>117.64705882352897</c:v>
                </c:pt>
                <c:pt idx="6">
                  <c:v>137.25490196078431</c:v>
                </c:pt>
                <c:pt idx="7">
                  <c:v>156.86274509803985</c:v>
                </c:pt>
                <c:pt idx="8">
                  <c:v>176.47058823529414</c:v>
                </c:pt>
                <c:pt idx="9">
                  <c:v>196.07843137254986</c:v>
                </c:pt>
                <c:pt idx="10">
                  <c:v>215.68627450980378</c:v>
                </c:pt>
              </c:numCache>
            </c:numRef>
          </c:xVal>
          <c:yVal>
            <c:numRef>
              <c:f>Sheet1!$C$17:$C$27</c:f>
              <c:numCache>
                <c:formatCode>General</c:formatCode>
                <c:ptCount val="11"/>
                <c:pt idx="0">
                  <c:v>91</c:v>
                </c:pt>
                <c:pt idx="1">
                  <c:v>63</c:v>
                </c:pt>
                <c:pt idx="2">
                  <c:v>42</c:v>
                </c:pt>
                <c:pt idx="3">
                  <c:v>33</c:v>
                </c:pt>
                <c:pt idx="4">
                  <c:v>24</c:v>
                </c:pt>
                <c:pt idx="5">
                  <c:v>18</c:v>
                </c:pt>
                <c:pt idx="6">
                  <c:v>16</c:v>
                </c:pt>
                <c:pt idx="7">
                  <c:v>13</c:v>
                </c:pt>
                <c:pt idx="8">
                  <c:v>11</c:v>
                </c:pt>
                <c:pt idx="9">
                  <c:v>6</c:v>
                </c:pt>
                <c:pt idx="10">
                  <c:v>5</c:v>
                </c:pt>
              </c:numCache>
            </c:numRef>
          </c:yVal>
          <c:smooth val="1"/>
        </c:ser>
        <c:axId val="145092992"/>
        <c:axId val="145095296"/>
      </c:scatterChart>
      <c:valAx>
        <c:axId val="145092992"/>
        <c:scaling>
          <c:orientation val="minMax"/>
        </c:scaling>
        <c:axPos val="b"/>
        <c:title>
          <c:tx>
            <c:rich>
              <a:bodyPr/>
              <a:lstStyle/>
              <a:p>
                <a:pPr>
                  <a:defRPr/>
                </a:pPr>
                <a:r>
                  <a:rPr lang="en-US"/>
                  <a:t>Concentration (mg/L)</a:t>
                </a:r>
              </a:p>
            </c:rich>
          </c:tx>
        </c:title>
        <c:numFmt formatCode="General" sourceLinked="1"/>
        <c:tickLblPos val="nextTo"/>
        <c:crossAx val="145095296"/>
        <c:crosses val="autoZero"/>
        <c:crossBetween val="midCat"/>
      </c:valAx>
      <c:valAx>
        <c:axId val="145095296"/>
        <c:scaling>
          <c:orientation val="minMax"/>
        </c:scaling>
        <c:axPos val="l"/>
        <c:majorGridlines/>
        <c:title>
          <c:tx>
            <c:rich>
              <a:bodyPr rot="-5400000" vert="horz"/>
              <a:lstStyle/>
              <a:p>
                <a:pPr>
                  <a:defRPr/>
                </a:pPr>
                <a:r>
                  <a:rPr lang="en-US"/>
                  <a:t>Depth (cm)</a:t>
                </a:r>
              </a:p>
            </c:rich>
          </c:tx>
        </c:title>
        <c:numFmt formatCode="General" sourceLinked="1"/>
        <c:tickLblPos val="nextTo"/>
        <c:crossAx val="145092992"/>
        <c:crosses val="autoZero"/>
        <c:crossBetween val="midCat"/>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style val="18"/>
  <c:chart>
    <c:autoTitleDeleted val="1"/>
    <c:plotArea>
      <c:layout/>
      <c:scatterChart>
        <c:scatterStyle val="smoothMarker"/>
        <c:ser>
          <c:idx val="0"/>
          <c:order val="0"/>
          <c:tx>
            <c:v>LED- 2 batteries: Design - Thin Black Stripe</c:v>
          </c:tx>
          <c:trendline>
            <c:trendlineType val="power"/>
            <c:dispRSqr val="1"/>
            <c:dispEq val="1"/>
            <c:trendlineLbl>
              <c:layout>
                <c:manualLayout>
                  <c:x val="-0.14156691269541205"/>
                  <c:y val="-0.39683586881737121"/>
                </c:manualLayout>
              </c:layout>
              <c:numFmt formatCode="General" sourceLinked="0"/>
              <c:spPr>
                <a:solidFill>
                  <a:schemeClr val="accent1"/>
                </a:solidFill>
              </c:spPr>
            </c:trendlineLbl>
          </c:trendline>
          <c:xVal>
            <c:numRef>
              <c:f>Sheet1!$D$48:$D$55</c:f>
              <c:numCache>
                <c:formatCode>General</c:formatCode>
                <c:ptCount val="8"/>
                <c:pt idx="0">
                  <c:v>25.02</c:v>
                </c:pt>
                <c:pt idx="1">
                  <c:v>30.47</c:v>
                </c:pt>
                <c:pt idx="2">
                  <c:v>44.71</c:v>
                </c:pt>
                <c:pt idx="3">
                  <c:v>53.8</c:v>
                </c:pt>
                <c:pt idx="4">
                  <c:v>58.760000000000012</c:v>
                </c:pt>
                <c:pt idx="5">
                  <c:v>84</c:v>
                </c:pt>
                <c:pt idx="6">
                  <c:v>106.8</c:v>
                </c:pt>
                <c:pt idx="7">
                  <c:v>111</c:v>
                </c:pt>
              </c:numCache>
            </c:numRef>
          </c:xVal>
          <c:yVal>
            <c:numRef>
              <c:f>Sheet1!$C$48:$C$55</c:f>
              <c:numCache>
                <c:formatCode>General</c:formatCode>
                <c:ptCount val="8"/>
                <c:pt idx="0">
                  <c:v>85</c:v>
                </c:pt>
                <c:pt idx="1">
                  <c:v>49</c:v>
                </c:pt>
                <c:pt idx="2">
                  <c:v>42</c:v>
                </c:pt>
                <c:pt idx="3">
                  <c:v>29</c:v>
                </c:pt>
                <c:pt idx="4">
                  <c:v>24</c:v>
                </c:pt>
                <c:pt idx="5">
                  <c:v>16</c:v>
                </c:pt>
                <c:pt idx="6">
                  <c:v>11</c:v>
                </c:pt>
                <c:pt idx="7">
                  <c:v>8</c:v>
                </c:pt>
              </c:numCache>
            </c:numRef>
          </c:yVal>
          <c:smooth val="1"/>
        </c:ser>
        <c:axId val="89885312"/>
        <c:axId val="89891584"/>
      </c:scatterChart>
      <c:valAx>
        <c:axId val="89885312"/>
        <c:scaling>
          <c:orientation val="minMax"/>
        </c:scaling>
        <c:axPos val="b"/>
        <c:title>
          <c:tx>
            <c:rich>
              <a:bodyPr/>
              <a:lstStyle/>
              <a:p>
                <a:pPr>
                  <a:defRPr/>
                </a:pPr>
                <a:r>
                  <a:rPr lang="en-US"/>
                  <a:t>Turbidity (NTU)</a:t>
                </a:r>
              </a:p>
            </c:rich>
          </c:tx>
        </c:title>
        <c:numFmt formatCode="General" sourceLinked="1"/>
        <c:tickLblPos val="nextTo"/>
        <c:crossAx val="89891584"/>
        <c:crosses val="autoZero"/>
        <c:crossBetween val="midCat"/>
      </c:valAx>
      <c:valAx>
        <c:axId val="89891584"/>
        <c:scaling>
          <c:orientation val="minMax"/>
        </c:scaling>
        <c:axPos val="l"/>
        <c:majorGridlines/>
        <c:title>
          <c:tx>
            <c:rich>
              <a:bodyPr rot="-5400000" vert="horz"/>
              <a:lstStyle/>
              <a:p>
                <a:pPr>
                  <a:defRPr/>
                </a:pPr>
                <a:r>
                  <a:rPr lang="en-US"/>
                  <a:t>Depth (cm)</a:t>
                </a:r>
              </a:p>
            </c:rich>
          </c:tx>
        </c:title>
        <c:numFmt formatCode="General" sourceLinked="1"/>
        <c:tickLblPos val="nextTo"/>
        <c:crossAx val="89885312"/>
        <c:crosses val="autoZero"/>
        <c:crossBetween val="midCat"/>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18"/>
  <c:chart>
    <c:autoTitleDeleted val="1"/>
    <c:plotArea>
      <c:layout/>
      <c:scatterChart>
        <c:scatterStyle val="smoothMarker"/>
        <c:ser>
          <c:idx val="0"/>
          <c:order val="0"/>
          <c:tx>
            <c:v>LED-1 battery: Design - Secchi Disk</c:v>
          </c:tx>
          <c:trendline>
            <c:trendlineType val="linear"/>
            <c:dispRSqr val="1"/>
            <c:dispEq val="1"/>
            <c:trendlineLbl>
              <c:layout>
                <c:manualLayout>
                  <c:x val="-0.11522090988626403"/>
                  <c:y val="8.1396673097982028E-2"/>
                </c:manualLayout>
              </c:layout>
              <c:numFmt formatCode="General" sourceLinked="0"/>
              <c:spPr>
                <a:solidFill>
                  <a:schemeClr val="accent1"/>
                </a:solidFill>
              </c:spPr>
            </c:trendlineLbl>
          </c:trendline>
          <c:xVal>
            <c:numRef>
              <c:f>Sheet1!$B$62:$B$68</c:f>
              <c:numCache>
                <c:formatCode>General</c:formatCode>
                <c:ptCount val="7"/>
                <c:pt idx="0">
                  <c:v>2.1739130434782608</c:v>
                </c:pt>
                <c:pt idx="1">
                  <c:v>4.3478260869565206</c:v>
                </c:pt>
                <c:pt idx="2">
                  <c:v>6.5217391304347831</c:v>
                </c:pt>
                <c:pt idx="3">
                  <c:v>8.6956521739130448</c:v>
                </c:pt>
                <c:pt idx="4">
                  <c:v>10.869565217391367</c:v>
                </c:pt>
                <c:pt idx="5">
                  <c:v>13.043478260869549</c:v>
                </c:pt>
                <c:pt idx="6">
                  <c:v>15.217391304347798</c:v>
                </c:pt>
              </c:numCache>
            </c:numRef>
          </c:xVal>
          <c:yVal>
            <c:numRef>
              <c:f>Sheet1!$D$62:$D$68</c:f>
              <c:numCache>
                <c:formatCode>General</c:formatCode>
                <c:ptCount val="7"/>
                <c:pt idx="0">
                  <c:v>5.8</c:v>
                </c:pt>
                <c:pt idx="1">
                  <c:v>8.9</c:v>
                </c:pt>
                <c:pt idx="2">
                  <c:v>11.6</c:v>
                </c:pt>
                <c:pt idx="3">
                  <c:v>13.3</c:v>
                </c:pt>
                <c:pt idx="4">
                  <c:v>20.5</c:v>
                </c:pt>
                <c:pt idx="5">
                  <c:v>27.6</c:v>
                </c:pt>
                <c:pt idx="6">
                  <c:v>33.800000000000011</c:v>
                </c:pt>
              </c:numCache>
            </c:numRef>
          </c:yVal>
          <c:smooth val="1"/>
        </c:ser>
        <c:axId val="89912448"/>
        <c:axId val="89914368"/>
      </c:scatterChart>
      <c:valAx>
        <c:axId val="89912448"/>
        <c:scaling>
          <c:orientation val="minMax"/>
        </c:scaling>
        <c:axPos val="b"/>
        <c:title>
          <c:tx>
            <c:rich>
              <a:bodyPr/>
              <a:lstStyle/>
              <a:p>
                <a:pPr>
                  <a:defRPr/>
                </a:pPr>
                <a:r>
                  <a:rPr lang="en-US"/>
                  <a:t>Clay Concentration (mg/L)</a:t>
                </a:r>
              </a:p>
            </c:rich>
          </c:tx>
        </c:title>
        <c:numFmt formatCode="General" sourceLinked="1"/>
        <c:tickLblPos val="nextTo"/>
        <c:crossAx val="89914368"/>
        <c:crosses val="autoZero"/>
        <c:crossBetween val="midCat"/>
      </c:valAx>
      <c:valAx>
        <c:axId val="89914368"/>
        <c:scaling>
          <c:orientation val="minMax"/>
        </c:scaling>
        <c:axPos val="l"/>
        <c:majorGridlines/>
        <c:title>
          <c:tx>
            <c:rich>
              <a:bodyPr rot="-5400000" vert="horz"/>
              <a:lstStyle/>
              <a:p>
                <a:pPr>
                  <a:defRPr/>
                </a:pPr>
                <a:r>
                  <a:rPr lang="en-US"/>
                  <a:t>Turbidity (NTU)</a:t>
                </a:r>
              </a:p>
            </c:rich>
          </c:tx>
        </c:title>
        <c:numFmt formatCode="General" sourceLinked="1"/>
        <c:tickLblPos val="nextTo"/>
        <c:crossAx val="89912448"/>
        <c:crosses val="autoZero"/>
        <c:crossBetween val="midCat"/>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18"/>
  <c:chart>
    <c:autoTitleDeleted val="1"/>
    <c:plotArea>
      <c:layout/>
      <c:scatterChart>
        <c:scatterStyle val="smoothMarker"/>
        <c:ser>
          <c:idx val="0"/>
          <c:order val="0"/>
          <c:tx>
            <c:v>Agua Clara Prototype Scale Values</c:v>
          </c:tx>
          <c:spPr>
            <a:ln>
              <a:solidFill>
                <a:schemeClr val="accent6">
                  <a:lumMod val="75000"/>
                </a:schemeClr>
              </a:solidFill>
            </a:ln>
          </c:spPr>
          <c:marker>
            <c:spPr>
              <a:solidFill>
                <a:schemeClr val="accent6"/>
              </a:solidFill>
            </c:spPr>
          </c:marker>
          <c:trendline>
            <c:trendlineType val="power"/>
            <c:dispRSqr val="1"/>
            <c:dispEq val="1"/>
            <c:trendlineLbl>
              <c:layout>
                <c:manualLayout>
                  <c:x val="0.47896216097987832"/>
                  <c:y val="-0.50950678040244857"/>
                </c:manualLayout>
              </c:layout>
              <c:numFmt formatCode="General" sourceLinked="0"/>
              <c:spPr>
                <a:solidFill>
                  <a:schemeClr val="bg1"/>
                </a:solidFill>
                <a:ln>
                  <a:solidFill>
                    <a:schemeClr val="tx1"/>
                  </a:solidFill>
                </a:ln>
              </c:spPr>
              <c:txPr>
                <a:bodyPr/>
                <a:lstStyle/>
                <a:p>
                  <a:pPr>
                    <a:defRPr sz="1400"/>
                  </a:pPr>
                  <a:endParaRPr lang="en-US"/>
                </a:p>
              </c:txPr>
            </c:trendlineLbl>
          </c:trendline>
          <c:xVal>
            <c:numRef>
              <c:f>Sheet1!$E$4:$E$23</c:f>
              <c:numCache>
                <c:formatCode>General</c:formatCode>
                <c:ptCount val="20"/>
                <c:pt idx="0">
                  <c:v>69</c:v>
                </c:pt>
                <c:pt idx="1">
                  <c:v>59</c:v>
                </c:pt>
                <c:pt idx="2">
                  <c:v>55</c:v>
                </c:pt>
                <c:pt idx="3">
                  <c:v>49</c:v>
                </c:pt>
                <c:pt idx="4">
                  <c:v>44</c:v>
                </c:pt>
                <c:pt idx="5">
                  <c:v>40</c:v>
                </c:pt>
                <c:pt idx="6">
                  <c:v>40</c:v>
                </c:pt>
                <c:pt idx="7">
                  <c:v>36</c:v>
                </c:pt>
                <c:pt idx="8">
                  <c:v>36</c:v>
                </c:pt>
                <c:pt idx="9">
                  <c:v>25</c:v>
                </c:pt>
                <c:pt idx="10">
                  <c:v>22</c:v>
                </c:pt>
                <c:pt idx="11">
                  <c:v>18</c:v>
                </c:pt>
                <c:pt idx="12">
                  <c:v>15</c:v>
                </c:pt>
                <c:pt idx="13">
                  <c:v>15</c:v>
                </c:pt>
                <c:pt idx="14">
                  <c:v>12</c:v>
                </c:pt>
                <c:pt idx="15">
                  <c:v>10</c:v>
                </c:pt>
                <c:pt idx="16">
                  <c:v>9</c:v>
                </c:pt>
                <c:pt idx="17">
                  <c:v>8</c:v>
                </c:pt>
                <c:pt idx="18">
                  <c:v>7</c:v>
                </c:pt>
                <c:pt idx="19">
                  <c:v>7</c:v>
                </c:pt>
              </c:numCache>
            </c:numRef>
          </c:xVal>
          <c:yVal>
            <c:numRef>
              <c:f>Sheet1!$F$4:$F$23</c:f>
              <c:numCache>
                <c:formatCode>General</c:formatCode>
                <c:ptCount val="20"/>
                <c:pt idx="0">
                  <c:v>4.6149999999999931</c:v>
                </c:pt>
                <c:pt idx="1">
                  <c:v>5.1319999999999997</c:v>
                </c:pt>
                <c:pt idx="2">
                  <c:v>6.4810000000000034</c:v>
                </c:pt>
                <c:pt idx="3">
                  <c:v>7.0119999999999996</c:v>
                </c:pt>
                <c:pt idx="4">
                  <c:v>8.6610000000000014</c:v>
                </c:pt>
                <c:pt idx="5">
                  <c:v>9.31</c:v>
                </c:pt>
                <c:pt idx="6">
                  <c:v>10.003</c:v>
                </c:pt>
                <c:pt idx="7">
                  <c:v>11.609</c:v>
                </c:pt>
                <c:pt idx="8">
                  <c:v>15.167</c:v>
                </c:pt>
                <c:pt idx="9">
                  <c:v>20.301000000000016</c:v>
                </c:pt>
                <c:pt idx="10">
                  <c:v>39.676000000000002</c:v>
                </c:pt>
                <c:pt idx="11">
                  <c:v>39.676000000000002</c:v>
                </c:pt>
                <c:pt idx="12">
                  <c:v>51.461000000000006</c:v>
                </c:pt>
                <c:pt idx="13">
                  <c:v>61.634</c:v>
                </c:pt>
                <c:pt idx="14">
                  <c:v>77.946000000000026</c:v>
                </c:pt>
                <c:pt idx="15">
                  <c:v>104.81</c:v>
                </c:pt>
                <c:pt idx="16">
                  <c:v>136.34</c:v>
                </c:pt>
                <c:pt idx="17">
                  <c:v>182.93</c:v>
                </c:pt>
                <c:pt idx="18">
                  <c:v>251.60999999999999</c:v>
                </c:pt>
                <c:pt idx="19">
                  <c:v>311.91999999999956</c:v>
                </c:pt>
              </c:numCache>
            </c:numRef>
          </c:yVal>
          <c:smooth val="1"/>
        </c:ser>
        <c:axId val="168571648"/>
        <c:axId val="168573568"/>
      </c:scatterChart>
      <c:valAx>
        <c:axId val="168571648"/>
        <c:scaling>
          <c:orientation val="minMax"/>
        </c:scaling>
        <c:axPos val="b"/>
        <c:majorGridlines/>
        <c:title>
          <c:tx>
            <c:rich>
              <a:bodyPr/>
              <a:lstStyle/>
              <a:p>
                <a:pPr>
                  <a:defRPr/>
                </a:pPr>
                <a:r>
                  <a:rPr lang="en-US"/>
                  <a:t>Depth (cm)</a:t>
                </a:r>
              </a:p>
            </c:rich>
          </c:tx>
        </c:title>
        <c:numFmt formatCode="General" sourceLinked="1"/>
        <c:tickLblPos val="nextTo"/>
        <c:crossAx val="168573568"/>
        <c:crosses val="autoZero"/>
        <c:crossBetween val="midCat"/>
      </c:valAx>
      <c:valAx>
        <c:axId val="168573568"/>
        <c:scaling>
          <c:orientation val="minMax"/>
        </c:scaling>
        <c:axPos val="l"/>
        <c:majorGridlines/>
        <c:title>
          <c:tx>
            <c:rich>
              <a:bodyPr rot="-5400000" vert="horz"/>
              <a:lstStyle/>
              <a:p>
                <a:pPr>
                  <a:defRPr/>
                </a:pPr>
                <a:r>
                  <a:rPr lang="en-US"/>
                  <a:t>Turbidity ()NTU</a:t>
                </a:r>
              </a:p>
            </c:rich>
          </c:tx>
        </c:title>
        <c:numFmt formatCode="General" sourceLinked="1"/>
        <c:tickLblPos val="nextTo"/>
        <c:crossAx val="168571648"/>
        <c:crosses val="autoZero"/>
        <c:crossBetween val="midCat"/>
      </c:valAx>
      <c:spPr>
        <a:ln>
          <a:solidFill>
            <a:schemeClr val="tx1"/>
          </a:solidFill>
        </a:ln>
      </c:spPr>
    </c:plotArea>
    <c:legend>
      <c:legendPos val="r"/>
    </c:legend>
    <c:plotVisOnly val="1"/>
    <c:dispBlanksAs val="gap"/>
  </c:chart>
  <c:spPr>
    <a:solidFill>
      <a:schemeClr val="bg1"/>
    </a:solidFill>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6855F0-0E25-4F5E-8CC6-51409BFE87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4996</Words>
  <Characters>28481</Characters>
  <Application>Microsoft Office Word</Application>
  <DocSecurity>0</DocSecurity>
  <Lines>237</Lines>
  <Paragraphs>66</Paragraphs>
  <ScaleCrop>false</ScaleCrop>
  <Company/>
  <LinksUpToDate>false</LinksUpToDate>
  <CharactersWithSpaces>33411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2011-06-01T13:40:00Z</dcterms:created>
  <dcterms:modified xsi:type="dcterms:W3CDTF">2011-06-01T13:44:00Z</dcterms:modified>
</cp:coreProperties>
</file>