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Default Extension="jpeg" ContentType="image/jpeg"/>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45D" w:rsidRPr="00A5345D" w:rsidRDefault="00A5345D" w:rsidP="00A5345D">
      <w:pPr>
        <w:rPr>
          <w:rFonts w:ascii="MS Reference Sans Serif" w:hAnsi="MS Reference Sans Serif"/>
        </w:rPr>
      </w:pPr>
    </w:p>
    <w:p w:rsidR="00A5345D" w:rsidRPr="00532BAF" w:rsidRDefault="00A5345D" w:rsidP="00532BAF">
      <w:pPr>
        <w:rPr>
          <w:rFonts w:ascii="MS Reference Sans Serif" w:hAnsi="MS Reference Sans Serif"/>
          <w:b/>
          <w:u w:val="single"/>
        </w:rPr>
      </w:pPr>
      <w:r w:rsidRPr="00532BAF">
        <w:rPr>
          <w:rFonts w:ascii="MS Reference Sans Serif" w:hAnsi="MS Reference Sans Serif"/>
          <w:b/>
          <w:u w:val="single"/>
        </w:rPr>
        <w:t>Steroids:</w:t>
      </w:r>
    </w:p>
    <w:p w:rsidR="00A5345D" w:rsidRDefault="00A5345D" w:rsidP="00A5345D">
      <w:pPr>
        <w:numPr>
          <w:ilvl w:val="0"/>
          <w:numId w:val="1"/>
        </w:numPr>
        <w:ind w:left="1080"/>
        <w:rPr>
          <w:rFonts w:ascii="MS Reference Sans Serif" w:hAnsi="MS Reference Sans Serif"/>
        </w:rPr>
      </w:pPr>
      <w:r w:rsidRPr="00A5345D">
        <w:rPr>
          <w:rFonts w:ascii="MS Reference Sans Serif" w:hAnsi="MS Reference Sans Serif"/>
        </w:rPr>
        <w:t>Mechanism of action:</w:t>
      </w:r>
    </w:p>
    <w:p w:rsidR="00A5345D" w:rsidRDefault="00A5345D" w:rsidP="00A5345D">
      <w:pPr>
        <w:widowControl w:val="0"/>
        <w:autoSpaceDE w:val="0"/>
        <w:autoSpaceDN w:val="0"/>
        <w:adjustRightInd w:val="0"/>
        <w:spacing w:after="200"/>
        <w:ind w:firstLine="260"/>
        <w:rPr>
          <w:rFonts w:ascii="Verdana" w:eastAsiaTheme="minorHAnsi" w:hAnsi="Verdana" w:cs="Verdana"/>
          <w:sz w:val="26"/>
          <w:szCs w:val="26"/>
          <w:lang w:bidi="ar-SA"/>
        </w:rPr>
      </w:pPr>
      <w:r>
        <w:rPr>
          <w:rFonts w:ascii="Verdana" w:eastAsiaTheme="minorHAnsi" w:hAnsi="Verdana" w:cs="Verdana"/>
          <w:b/>
          <w:bCs/>
          <w:sz w:val="26"/>
          <w:szCs w:val="26"/>
          <w:lang w:bidi="ar-SA"/>
        </w:rPr>
        <w:t>Cardiovascular System</w:t>
      </w:r>
      <w:r>
        <w:rPr>
          <w:rFonts w:ascii="Verdana" w:eastAsiaTheme="minorHAnsi" w:hAnsi="Verdana" w:cs="Verdana"/>
          <w:sz w:val="26"/>
          <w:szCs w:val="26"/>
          <w:lang w:bidi="ar-SA"/>
        </w:rPr>
        <w:t xml:space="preserve">: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can reduce capillary permeability and enhance vasoconstriction. A relatively clinically insignificant positive </w:t>
      </w:r>
      <w:proofErr w:type="spellStart"/>
      <w:r>
        <w:rPr>
          <w:rFonts w:ascii="Verdana" w:eastAsiaTheme="minorHAnsi" w:hAnsi="Verdana" w:cs="Verdana"/>
          <w:sz w:val="26"/>
          <w:szCs w:val="26"/>
          <w:lang w:bidi="ar-SA"/>
        </w:rPr>
        <w:t>inotropic</w:t>
      </w:r>
      <w:proofErr w:type="spellEnd"/>
      <w:r>
        <w:rPr>
          <w:rFonts w:ascii="Verdana" w:eastAsiaTheme="minorHAnsi" w:hAnsi="Verdana" w:cs="Verdana"/>
          <w:sz w:val="26"/>
          <w:szCs w:val="26"/>
          <w:lang w:bidi="ar-SA"/>
        </w:rPr>
        <w:t xml:space="preserve"> effect can occur after </w:t>
      </w:r>
      <w:proofErr w:type="spellStart"/>
      <w:r>
        <w:rPr>
          <w:rFonts w:ascii="Verdana" w:eastAsiaTheme="minorHAnsi" w:hAnsi="Verdana" w:cs="Verdana"/>
          <w:sz w:val="26"/>
          <w:szCs w:val="26"/>
          <w:lang w:bidi="ar-SA"/>
        </w:rPr>
        <w:t>glucocorticoid</w:t>
      </w:r>
      <w:proofErr w:type="spellEnd"/>
      <w:r>
        <w:rPr>
          <w:rFonts w:ascii="Verdana" w:eastAsiaTheme="minorHAnsi" w:hAnsi="Verdana" w:cs="Verdana"/>
          <w:sz w:val="26"/>
          <w:szCs w:val="26"/>
          <w:lang w:bidi="ar-SA"/>
        </w:rPr>
        <w:t xml:space="preserve"> administration. Increased blood pressure can result from both the drugs' </w:t>
      </w:r>
      <w:proofErr w:type="spellStart"/>
      <w:r>
        <w:rPr>
          <w:rFonts w:ascii="Verdana" w:eastAsiaTheme="minorHAnsi" w:hAnsi="Verdana" w:cs="Verdana"/>
          <w:sz w:val="26"/>
          <w:szCs w:val="26"/>
          <w:lang w:bidi="ar-SA"/>
        </w:rPr>
        <w:t>vasoconstrictive</w:t>
      </w:r>
      <w:proofErr w:type="spellEnd"/>
      <w:r>
        <w:rPr>
          <w:rFonts w:ascii="Verdana" w:eastAsiaTheme="minorHAnsi" w:hAnsi="Verdana" w:cs="Verdana"/>
          <w:sz w:val="26"/>
          <w:szCs w:val="26"/>
          <w:lang w:bidi="ar-SA"/>
        </w:rPr>
        <w:t xml:space="preserve"> properties and increased blood volume that may be produced.</w:t>
      </w:r>
    </w:p>
    <w:p w:rsidR="00A5345D" w:rsidRDefault="00A5345D" w:rsidP="00A5345D">
      <w:pPr>
        <w:widowControl w:val="0"/>
        <w:autoSpaceDE w:val="0"/>
        <w:autoSpaceDN w:val="0"/>
        <w:adjustRightInd w:val="0"/>
        <w:spacing w:after="200"/>
        <w:ind w:firstLine="260"/>
        <w:rPr>
          <w:rFonts w:ascii="Verdana" w:eastAsiaTheme="minorHAnsi" w:hAnsi="Verdana" w:cs="Verdana"/>
          <w:sz w:val="26"/>
          <w:szCs w:val="26"/>
          <w:lang w:bidi="ar-SA"/>
        </w:rPr>
      </w:pPr>
      <w:r>
        <w:rPr>
          <w:rFonts w:ascii="Verdana" w:eastAsiaTheme="minorHAnsi" w:hAnsi="Verdana" w:cs="Verdana"/>
          <w:b/>
          <w:bCs/>
          <w:sz w:val="26"/>
          <w:szCs w:val="26"/>
          <w:lang w:bidi="ar-SA"/>
        </w:rPr>
        <w:t>Cells</w:t>
      </w:r>
      <w:r>
        <w:rPr>
          <w:rFonts w:ascii="Verdana" w:eastAsiaTheme="minorHAnsi" w:hAnsi="Verdana" w:cs="Verdana"/>
          <w:sz w:val="26"/>
          <w:szCs w:val="26"/>
          <w:lang w:bidi="ar-SA"/>
        </w:rPr>
        <w:t xml:space="preserve">: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inhibit fibroblast proliferation, macrophage response to migration inhibiting factor, sensitization of lymphocytes and the cellular response to mediators of inflammation.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stabilize </w:t>
      </w:r>
      <w:proofErr w:type="spellStart"/>
      <w:r>
        <w:rPr>
          <w:rFonts w:ascii="Verdana" w:eastAsiaTheme="minorHAnsi" w:hAnsi="Verdana" w:cs="Verdana"/>
          <w:sz w:val="26"/>
          <w:szCs w:val="26"/>
          <w:lang w:bidi="ar-SA"/>
        </w:rPr>
        <w:t>lysosomal</w:t>
      </w:r>
      <w:proofErr w:type="spellEnd"/>
      <w:r>
        <w:rPr>
          <w:rFonts w:ascii="Verdana" w:eastAsiaTheme="minorHAnsi" w:hAnsi="Verdana" w:cs="Verdana"/>
          <w:sz w:val="26"/>
          <w:szCs w:val="26"/>
          <w:lang w:bidi="ar-SA"/>
        </w:rPr>
        <w:t xml:space="preserve"> membranes.</w:t>
      </w:r>
    </w:p>
    <w:p w:rsidR="00A5345D" w:rsidRDefault="00A5345D" w:rsidP="00A5345D">
      <w:pPr>
        <w:widowControl w:val="0"/>
        <w:autoSpaceDE w:val="0"/>
        <w:autoSpaceDN w:val="0"/>
        <w:adjustRightInd w:val="0"/>
        <w:spacing w:after="200"/>
        <w:ind w:firstLine="260"/>
        <w:rPr>
          <w:rFonts w:ascii="Verdana" w:eastAsiaTheme="minorHAnsi" w:hAnsi="Verdana" w:cs="Verdana"/>
          <w:sz w:val="26"/>
          <w:szCs w:val="26"/>
          <w:lang w:bidi="ar-SA"/>
        </w:rPr>
      </w:pPr>
      <w:r>
        <w:rPr>
          <w:rFonts w:ascii="Verdana" w:eastAsiaTheme="minorHAnsi" w:hAnsi="Verdana" w:cs="Verdana"/>
          <w:b/>
          <w:bCs/>
          <w:sz w:val="26"/>
          <w:szCs w:val="26"/>
          <w:lang w:bidi="ar-SA"/>
        </w:rPr>
        <w:t>CNS/Autonomic Nervous System</w:t>
      </w:r>
      <w:r>
        <w:rPr>
          <w:rFonts w:ascii="Verdana" w:eastAsiaTheme="minorHAnsi" w:hAnsi="Verdana" w:cs="Verdana"/>
          <w:sz w:val="26"/>
          <w:szCs w:val="26"/>
          <w:lang w:bidi="ar-SA"/>
        </w:rPr>
        <w:t xml:space="preserve">: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can lower seizure threshold, alter mood and behavior, diminish the response to </w:t>
      </w:r>
      <w:proofErr w:type="spellStart"/>
      <w:r>
        <w:rPr>
          <w:rFonts w:ascii="Verdana" w:eastAsiaTheme="minorHAnsi" w:hAnsi="Verdana" w:cs="Verdana"/>
          <w:sz w:val="26"/>
          <w:szCs w:val="26"/>
          <w:lang w:bidi="ar-SA"/>
        </w:rPr>
        <w:t>pyrogens</w:t>
      </w:r>
      <w:proofErr w:type="spellEnd"/>
      <w:r>
        <w:rPr>
          <w:rFonts w:ascii="Verdana" w:eastAsiaTheme="minorHAnsi" w:hAnsi="Verdana" w:cs="Verdana"/>
          <w:sz w:val="26"/>
          <w:szCs w:val="26"/>
          <w:lang w:bidi="ar-SA"/>
        </w:rPr>
        <w:t xml:space="preserve">, stimulate appetite and maintain alpha rhythm.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are necessary for normal adrenergic receptor sensitivity.</w:t>
      </w:r>
    </w:p>
    <w:p w:rsidR="00A5345D" w:rsidRDefault="00A5345D" w:rsidP="00A5345D">
      <w:pPr>
        <w:widowControl w:val="0"/>
        <w:autoSpaceDE w:val="0"/>
        <w:autoSpaceDN w:val="0"/>
        <w:adjustRightInd w:val="0"/>
        <w:spacing w:after="200"/>
        <w:ind w:firstLine="260"/>
        <w:rPr>
          <w:rFonts w:ascii="Verdana" w:eastAsiaTheme="minorHAnsi" w:hAnsi="Verdana" w:cs="Verdana"/>
          <w:sz w:val="26"/>
          <w:szCs w:val="26"/>
          <w:lang w:bidi="ar-SA"/>
        </w:rPr>
      </w:pPr>
      <w:r>
        <w:rPr>
          <w:rFonts w:ascii="Verdana" w:eastAsiaTheme="minorHAnsi" w:hAnsi="Verdana" w:cs="Verdana"/>
          <w:b/>
          <w:bCs/>
          <w:sz w:val="26"/>
          <w:szCs w:val="26"/>
          <w:lang w:bidi="ar-SA"/>
        </w:rPr>
        <w:t>Endocrine System</w:t>
      </w:r>
      <w:r>
        <w:rPr>
          <w:rFonts w:ascii="Verdana" w:eastAsiaTheme="minorHAnsi" w:hAnsi="Verdana" w:cs="Verdana"/>
          <w:sz w:val="26"/>
          <w:szCs w:val="26"/>
          <w:lang w:bidi="ar-SA"/>
        </w:rPr>
        <w:t xml:space="preserve">: When animals are not stressed,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will suppress the release of ACTH from the anterior pituitary, thereby reducing or preventing the release of endogenous corticosteroids. Stress factors (e.g., renal disease, liver disease, diabetes) may sometimes nullify the suppressing aspects of exogenously administered steroids. Release of thyroid-stimulating hormone (TSH), follicle-stimulating hormone (FSH), </w:t>
      </w:r>
      <w:proofErr w:type="spellStart"/>
      <w:r>
        <w:rPr>
          <w:rFonts w:ascii="Verdana" w:eastAsiaTheme="minorHAnsi" w:hAnsi="Verdana" w:cs="Verdana"/>
          <w:sz w:val="26"/>
          <w:szCs w:val="26"/>
          <w:lang w:bidi="ar-SA"/>
        </w:rPr>
        <w:t>prolactin</w:t>
      </w:r>
      <w:proofErr w:type="spellEnd"/>
      <w:r>
        <w:rPr>
          <w:rFonts w:ascii="Verdana" w:eastAsiaTheme="minorHAnsi" w:hAnsi="Verdana" w:cs="Verdana"/>
          <w:sz w:val="26"/>
          <w:szCs w:val="26"/>
          <w:lang w:bidi="ar-SA"/>
        </w:rPr>
        <w:t xml:space="preserve"> and luteinizing hormone (LH) may all be reduced when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are administered at pharmacological doses. Conversion of </w:t>
      </w:r>
      <w:proofErr w:type="spellStart"/>
      <w:r>
        <w:rPr>
          <w:rFonts w:ascii="Verdana" w:eastAsiaTheme="minorHAnsi" w:hAnsi="Verdana" w:cs="Verdana"/>
          <w:sz w:val="26"/>
          <w:szCs w:val="26"/>
          <w:lang w:bidi="ar-SA"/>
        </w:rPr>
        <w:t>thyroxine</w:t>
      </w:r>
      <w:proofErr w:type="spellEnd"/>
      <w:r>
        <w:rPr>
          <w:rFonts w:ascii="Verdana" w:eastAsiaTheme="minorHAnsi" w:hAnsi="Verdana" w:cs="Verdana"/>
          <w:sz w:val="26"/>
          <w:szCs w:val="26"/>
          <w:lang w:bidi="ar-SA"/>
        </w:rPr>
        <w:t xml:space="preserve"> (T</w:t>
      </w:r>
      <w:r>
        <w:rPr>
          <w:rFonts w:ascii="Verdana" w:eastAsiaTheme="minorHAnsi" w:hAnsi="Verdana" w:cs="Verdana"/>
          <w:sz w:val="22"/>
          <w:szCs w:val="22"/>
          <w:vertAlign w:val="subscript"/>
          <w:lang w:bidi="ar-SA"/>
        </w:rPr>
        <w:t>4</w:t>
      </w:r>
      <w:r>
        <w:rPr>
          <w:rFonts w:ascii="Verdana" w:eastAsiaTheme="minorHAnsi" w:hAnsi="Verdana" w:cs="Verdana"/>
          <w:sz w:val="26"/>
          <w:szCs w:val="26"/>
          <w:lang w:bidi="ar-SA"/>
        </w:rPr>
        <w:t xml:space="preserve">) to </w:t>
      </w:r>
      <w:proofErr w:type="spellStart"/>
      <w:r>
        <w:rPr>
          <w:rFonts w:ascii="Verdana" w:eastAsiaTheme="minorHAnsi" w:hAnsi="Verdana" w:cs="Verdana"/>
          <w:sz w:val="26"/>
          <w:szCs w:val="26"/>
          <w:lang w:bidi="ar-SA"/>
        </w:rPr>
        <w:t>triiodothyronine</w:t>
      </w:r>
      <w:proofErr w:type="spellEnd"/>
      <w:r>
        <w:rPr>
          <w:rFonts w:ascii="Verdana" w:eastAsiaTheme="minorHAnsi" w:hAnsi="Verdana" w:cs="Verdana"/>
          <w:sz w:val="26"/>
          <w:szCs w:val="26"/>
          <w:lang w:bidi="ar-SA"/>
        </w:rPr>
        <w:t xml:space="preserve"> (T</w:t>
      </w:r>
      <w:r>
        <w:rPr>
          <w:rFonts w:ascii="Verdana" w:eastAsiaTheme="minorHAnsi" w:hAnsi="Verdana" w:cs="Verdana"/>
          <w:sz w:val="22"/>
          <w:szCs w:val="22"/>
          <w:vertAlign w:val="subscript"/>
          <w:lang w:bidi="ar-SA"/>
        </w:rPr>
        <w:t>3</w:t>
      </w:r>
      <w:r>
        <w:rPr>
          <w:rFonts w:ascii="Verdana" w:eastAsiaTheme="minorHAnsi" w:hAnsi="Verdana" w:cs="Verdana"/>
          <w:sz w:val="26"/>
          <w:szCs w:val="26"/>
          <w:lang w:bidi="ar-SA"/>
        </w:rPr>
        <w:t xml:space="preserve">) may be reduced by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and plasma levels of parathyroid hormone increased.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may inhibit </w:t>
      </w:r>
      <w:proofErr w:type="spellStart"/>
      <w:r>
        <w:rPr>
          <w:rFonts w:ascii="Verdana" w:eastAsiaTheme="minorHAnsi" w:hAnsi="Verdana" w:cs="Verdana"/>
          <w:sz w:val="26"/>
          <w:szCs w:val="26"/>
          <w:lang w:bidi="ar-SA"/>
        </w:rPr>
        <w:t>osteoblast</w:t>
      </w:r>
      <w:proofErr w:type="spellEnd"/>
      <w:r>
        <w:rPr>
          <w:rFonts w:ascii="Verdana" w:eastAsiaTheme="minorHAnsi" w:hAnsi="Verdana" w:cs="Verdana"/>
          <w:sz w:val="26"/>
          <w:szCs w:val="26"/>
          <w:lang w:bidi="ar-SA"/>
        </w:rPr>
        <w:t xml:space="preserve"> function. Vasopressin (ADH) activity is reduced at the renal tubules and </w:t>
      </w:r>
      <w:proofErr w:type="spellStart"/>
      <w:r>
        <w:rPr>
          <w:rFonts w:ascii="Verdana" w:eastAsiaTheme="minorHAnsi" w:hAnsi="Verdana" w:cs="Verdana"/>
          <w:sz w:val="26"/>
          <w:szCs w:val="26"/>
          <w:lang w:bidi="ar-SA"/>
        </w:rPr>
        <w:t>diuresis</w:t>
      </w:r>
      <w:proofErr w:type="spellEnd"/>
      <w:r>
        <w:rPr>
          <w:rFonts w:ascii="Verdana" w:eastAsiaTheme="minorHAnsi" w:hAnsi="Verdana" w:cs="Verdana"/>
          <w:sz w:val="26"/>
          <w:szCs w:val="26"/>
          <w:lang w:bidi="ar-SA"/>
        </w:rPr>
        <w:t xml:space="preserve"> may occur.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inhibit insulin binding to insulin-receptors and the post-receptor effects of insulin.</w:t>
      </w:r>
    </w:p>
    <w:p w:rsidR="00A5345D" w:rsidRDefault="00A5345D" w:rsidP="00A5345D">
      <w:pPr>
        <w:widowControl w:val="0"/>
        <w:autoSpaceDE w:val="0"/>
        <w:autoSpaceDN w:val="0"/>
        <w:adjustRightInd w:val="0"/>
        <w:spacing w:after="200"/>
        <w:ind w:firstLine="260"/>
        <w:rPr>
          <w:rFonts w:ascii="Verdana" w:eastAsiaTheme="minorHAnsi" w:hAnsi="Verdana" w:cs="Verdana"/>
          <w:sz w:val="26"/>
          <w:szCs w:val="26"/>
          <w:lang w:bidi="ar-SA"/>
        </w:rPr>
      </w:pPr>
      <w:r>
        <w:rPr>
          <w:rFonts w:ascii="Verdana" w:eastAsiaTheme="minorHAnsi" w:hAnsi="Verdana" w:cs="Verdana"/>
          <w:b/>
          <w:bCs/>
          <w:sz w:val="26"/>
          <w:szCs w:val="26"/>
          <w:lang w:bidi="ar-SA"/>
        </w:rPr>
        <w:t>Hematopoietic System</w:t>
      </w:r>
      <w:r>
        <w:rPr>
          <w:rFonts w:ascii="Verdana" w:eastAsiaTheme="minorHAnsi" w:hAnsi="Verdana" w:cs="Verdana"/>
          <w:sz w:val="26"/>
          <w:szCs w:val="26"/>
          <w:lang w:bidi="ar-SA"/>
        </w:rPr>
        <w:t xml:space="preserve">: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can increase the numbers of circulating platelets, neutrophils and red blood cells, but platelet aggregation is inhibited. Decreased amounts of lymphocytes (peripheral), </w:t>
      </w:r>
      <w:proofErr w:type="spellStart"/>
      <w:r>
        <w:rPr>
          <w:rFonts w:ascii="Verdana" w:eastAsiaTheme="minorHAnsi" w:hAnsi="Verdana" w:cs="Verdana"/>
          <w:sz w:val="26"/>
          <w:szCs w:val="26"/>
          <w:lang w:bidi="ar-SA"/>
        </w:rPr>
        <w:t>monocytes</w:t>
      </w:r>
      <w:proofErr w:type="spellEnd"/>
      <w:r>
        <w:rPr>
          <w:rFonts w:ascii="Verdana" w:eastAsiaTheme="minorHAnsi" w:hAnsi="Verdana" w:cs="Verdana"/>
          <w:sz w:val="26"/>
          <w:szCs w:val="26"/>
          <w:lang w:bidi="ar-SA"/>
        </w:rPr>
        <w:t xml:space="preserve"> and </w:t>
      </w:r>
      <w:proofErr w:type="spellStart"/>
      <w:r>
        <w:rPr>
          <w:rFonts w:ascii="Verdana" w:eastAsiaTheme="minorHAnsi" w:hAnsi="Verdana" w:cs="Verdana"/>
          <w:sz w:val="26"/>
          <w:szCs w:val="26"/>
          <w:lang w:bidi="ar-SA"/>
        </w:rPr>
        <w:t>eosinophils</w:t>
      </w:r>
      <w:proofErr w:type="spellEnd"/>
      <w:r>
        <w:rPr>
          <w:rFonts w:ascii="Verdana" w:eastAsiaTheme="minorHAnsi" w:hAnsi="Verdana" w:cs="Verdana"/>
          <w:sz w:val="26"/>
          <w:szCs w:val="26"/>
          <w:lang w:bidi="ar-SA"/>
        </w:rPr>
        <w:t xml:space="preserve"> are seen as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can sequester these cells into the lungs and spleen and prompt decreased release from the bone marrow. Removal of old red blood cells is diminished.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can cause involution of lymphoid tissue.</w:t>
      </w:r>
    </w:p>
    <w:p w:rsidR="00A5345D" w:rsidRDefault="00A5345D" w:rsidP="00A5345D">
      <w:pPr>
        <w:widowControl w:val="0"/>
        <w:autoSpaceDE w:val="0"/>
        <w:autoSpaceDN w:val="0"/>
        <w:adjustRightInd w:val="0"/>
        <w:spacing w:after="200"/>
        <w:ind w:firstLine="260"/>
        <w:rPr>
          <w:rFonts w:ascii="Verdana" w:eastAsiaTheme="minorHAnsi" w:hAnsi="Verdana" w:cs="Verdana"/>
          <w:sz w:val="26"/>
          <w:szCs w:val="26"/>
          <w:lang w:bidi="ar-SA"/>
        </w:rPr>
      </w:pPr>
      <w:r>
        <w:rPr>
          <w:rFonts w:ascii="Verdana" w:eastAsiaTheme="minorHAnsi" w:hAnsi="Verdana" w:cs="Verdana"/>
          <w:b/>
          <w:bCs/>
          <w:sz w:val="26"/>
          <w:szCs w:val="26"/>
          <w:lang w:bidi="ar-SA"/>
        </w:rPr>
        <w:t>GI Tract and Hepatic System</w:t>
      </w:r>
      <w:r>
        <w:rPr>
          <w:rFonts w:ascii="Verdana" w:eastAsiaTheme="minorHAnsi" w:hAnsi="Verdana" w:cs="Verdana"/>
          <w:sz w:val="26"/>
          <w:szCs w:val="26"/>
          <w:lang w:bidi="ar-SA"/>
        </w:rPr>
        <w:t xml:space="preserve">: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increase the secretion of gastric acid, pepsin and </w:t>
      </w:r>
      <w:proofErr w:type="spellStart"/>
      <w:r>
        <w:rPr>
          <w:rFonts w:ascii="Verdana" w:eastAsiaTheme="minorHAnsi" w:hAnsi="Verdana" w:cs="Verdana"/>
          <w:sz w:val="26"/>
          <w:szCs w:val="26"/>
          <w:lang w:bidi="ar-SA"/>
        </w:rPr>
        <w:t>trypsin</w:t>
      </w:r>
      <w:proofErr w:type="spellEnd"/>
      <w:r>
        <w:rPr>
          <w:rFonts w:ascii="Verdana" w:eastAsiaTheme="minorHAnsi" w:hAnsi="Verdana" w:cs="Verdana"/>
          <w:sz w:val="26"/>
          <w:szCs w:val="26"/>
          <w:lang w:bidi="ar-SA"/>
        </w:rPr>
        <w:t xml:space="preserve">. They alter the structure of </w:t>
      </w:r>
      <w:proofErr w:type="spellStart"/>
      <w:r>
        <w:rPr>
          <w:rFonts w:ascii="Verdana" w:eastAsiaTheme="minorHAnsi" w:hAnsi="Verdana" w:cs="Verdana"/>
          <w:sz w:val="26"/>
          <w:szCs w:val="26"/>
          <w:lang w:bidi="ar-SA"/>
        </w:rPr>
        <w:t>mucin</w:t>
      </w:r>
      <w:proofErr w:type="spellEnd"/>
      <w:r>
        <w:rPr>
          <w:rFonts w:ascii="Verdana" w:eastAsiaTheme="minorHAnsi" w:hAnsi="Verdana" w:cs="Verdana"/>
          <w:sz w:val="26"/>
          <w:szCs w:val="26"/>
          <w:lang w:bidi="ar-SA"/>
        </w:rPr>
        <w:t xml:space="preserve"> and decrease mucosal cell proliferation. Iron salts and calcium absorption are decreased while fat absorption is increased. Hepatic changes can include increased fat and glycogen deposits within </w:t>
      </w:r>
      <w:proofErr w:type="spellStart"/>
      <w:r>
        <w:rPr>
          <w:rFonts w:ascii="Verdana" w:eastAsiaTheme="minorHAnsi" w:hAnsi="Verdana" w:cs="Verdana"/>
          <w:sz w:val="26"/>
          <w:szCs w:val="26"/>
          <w:lang w:bidi="ar-SA"/>
        </w:rPr>
        <w:t>hepatocytes</w:t>
      </w:r>
      <w:proofErr w:type="spellEnd"/>
      <w:r>
        <w:rPr>
          <w:rFonts w:ascii="Verdana" w:eastAsiaTheme="minorHAnsi" w:hAnsi="Verdana" w:cs="Verdana"/>
          <w:sz w:val="26"/>
          <w:szCs w:val="26"/>
          <w:lang w:bidi="ar-SA"/>
        </w:rPr>
        <w:t xml:space="preserve">, increased serum levels of </w:t>
      </w:r>
      <w:proofErr w:type="spellStart"/>
      <w:r>
        <w:rPr>
          <w:rFonts w:ascii="Verdana" w:eastAsiaTheme="minorHAnsi" w:hAnsi="Verdana" w:cs="Verdana"/>
          <w:sz w:val="26"/>
          <w:szCs w:val="26"/>
          <w:lang w:bidi="ar-SA"/>
        </w:rPr>
        <w:t>alanine</w:t>
      </w:r>
      <w:proofErr w:type="spellEnd"/>
      <w:r>
        <w:rPr>
          <w:rFonts w:ascii="Verdana" w:eastAsiaTheme="minorHAnsi" w:hAnsi="Verdana" w:cs="Verdana"/>
          <w:sz w:val="26"/>
          <w:szCs w:val="26"/>
          <w:lang w:bidi="ar-SA"/>
        </w:rPr>
        <w:t xml:space="preserve"> </w:t>
      </w:r>
      <w:proofErr w:type="spellStart"/>
      <w:r>
        <w:rPr>
          <w:rFonts w:ascii="Verdana" w:eastAsiaTheme="minorHAnsi" w:hAnsi="Verdana" w:cs="Verdana"/>
          <w:sz w:val="26"/>
          <w:szCs w:val="26"/>
          <w:lang w:bidi="ar-SA"/>
        </w:rPr>
        <w:t>aminotransferase</w:t>
      </w:r>
      <w:proofErr w:type="spellEnd"/>
      <w:r>
        <w:rPr>
          <w:rFonts w:ascii="Verdana" w:eastAsiaTheme="minorHAnsi" w:hAnsi="Verdana" w:cs="Verdana"/>
          <w:sz w:val="26"/>
          <w:szCs w:val="26"/>
          <w:lang w:bidi="ar-SA"/>
        </w:rPr>
        <w:t xml:space="preserve"> (ALT) and gamma-</w:t>
      </w:r>
      <w:proofErr w:type="spellStart"/>
      <w:r>
        <w:rPr>
          <w:rFonts w:ascii="Verdana" w:eastAsiaTheme="minorHAnsi" w:hAnsi="Verdana" w:cs="Verdana"/>
          <w:sz w:val="26"/>
          <w:szCs w:val="26"/>
          <w:lang w:bidi="ar-SA"/>
        </w:rPr>
        <w:t>glutamyl</w:t>
      </w:r>
      <w:proofErr w:type="spellEnd"/>
      <w:r>
        <w:rPr>
          <w:rFonts w:ascii="Verdana" w:eastAsiaTheme="minorHAnsi" w:hAnsi="Verdana" w:cs="Verdana"/>
          <w:sz w:val="26"/>
          <w:szCs w:val="26"/>
          <w:lang w:bidi="ar-SA"/>
        </w:rPr>
        <w:t xml:space="preserve"> </w:t>
      </w:r>
      <w:proofErr w:type="spellStart"/>
      <w:r>
        <w:rPr>
          <w:rFonts w:ascii="Verdana" w:eastAsiaTheme="minorHAnsi" w:hAnsi="Verdana" w:cs="Verdana"/>
          <w:sz w:val="26"/>
          <w:szCs w:val="26"/>
          <w:lang w:bidi="ar-SA"/>
        </w:rPr>
        <w:t>transpeptidase</w:t>
      </w:r>
      <w:proofErr w:type="spellEnd"/>
      <w:r>
        <w:rPr>
          <w:rFonts w:ascii="Verdana" w:eastAsiaTheme="minorHAnsi" w:hAnsi="Verdana" w:cs="Verdana"/>
          <w:sz w:val="26"/>
          <w:szCs w:val="26"/>
          <w:lang w:bidi="ar-SA"/>
        </w:rPr>
        <w:t xml:space="preserve"> (GGT). Significant increases can be seen in serum alkaline </w:t>
      </w:r>
      <w:proofErr w:type="spellStart"/>
      <w:r>
        <w:rPr>
          <w:rFonts w:ascii="Verdana" w:eastAsiaTheme="minorHAnsi" w:hAnsi="Verdana" w:cs="Verdana"/>
          <w:sz w:val="26"/>
          <w:szCs w:val="26"/>
          <w:lang w:bidi="ar-SA"/>
        </w:rPr>
        <w:t>phosphatase</w:t>
      </w:r>
      <w:proofErr w:type="spellEnd"/>
      <w:r>
        <w:rPr>
          <w:rFonts w:ascii="Verdana" w:eastAsiaTheme="minorHAnsi" w:hAnsi="Verdana" w:cs="Verdana"/>
          <w:sz w:val="26"/>
          <w:szCs w:val="26"/>
          <w:lang w:bidi="ar-SA"/>
        </w:rPr>
        <w:t xml:space="preserve"> levels.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can cause minor increases in BSP (</w:t>
      </w:r>
      <w:proofErr w:type="spellStart"/>
      <w:r>
        <w:rPr>
          <w:rFonts w:ascii="Verdana" w:eastAsiaTheme="minorHAnsi" w:hAnsi="Verdana" w:cs="Verdana"/>
          <w:sz w:val="26"/>
          <w:szCs w:val="26"/>
          <w:lang w:bidi="ar-SA"/>
        </w:rPr>
        <w:t>bromosulfophthalein</w:t>
      </w:r>
      <w:proofErr w:type="spellEnd"/>
      <w:r>
        <w:rPr>
          <w:rFonts w:ascii="Verdana" w:eastAsiaTheme="minorHAnsi" w:hAnsi="Verdana" w:cs="Verdana"/>
          <w:sz w:val="26"/>
          <w:szCs w:val="26"/>
          <w:lang w:bidi="ar-SA"/>
        </w:rPr>
        <w:t>) retention time.</w:t>
      </w:r>
    </w:p>
    <w:p w:rsidR="00A5345D" w:rsidRDefault="00A5345D" w:rsidP="00A5345D">
      <w:pPr>
        <w:widowControl w:val="0"/>
        <w:autoSpaceDE w:val="0"/>
        <w:autoSpaceDN w:val="0"/>
        <w:adjustRightInd w:val="0"/>
        <w:spacing w:after="200"/>
        <w:ind w:firstLine="260"/>
        <w:rPr>
          <w:rFonts w:ascii="Verdana" w:eastAsiaTheme="minorHAnsi" w:hAnsi="Verdana" w:cs="Verdana"/>
          <w:sz w:val="26"/>
          <w:szCs w:val="26"/>
          <w:lang w:bidi="ar-SA"/>
        </w:rPr>
      </w:pPr>
      <w:r>
        <w:rPr>
          <w:rFonts w:ascii="Verdana" w:eastAsiaTheme="minorHAnsi" w:hAnsi="Verdana" w:cs="Verdana"/>
          <w:b/>
          <w:bCs/>
          <w:sz w:val="26"/>
          <w:szCs w:val="26"/>
          <w:lang w:bidi="ar-SA"/>
        </w:rPr>
        <w:t xml:space="preserve">Immune </w:t>
      </w:r>
      <w:proofErr w:type="gramStart"/>
      <w:r>
        <w:rPr>
          <w:rFonts w:ascii="Verdana" w:eastAsiaTheme="minorHAnsi" w:hAnsi="Verdana" w:cs="Verdana"/>
          <w:b/>
          <w:bCs/>
          <w:sz w:val="26"/>
          <w:szCs w:val="26"/>
          <w:lang w:bidi="ar-SA"/>
        </w:rPr>
        <w:t>System</w:t>
      </w:r>
      <w:r>
        <w:rPr>
          <w:rFonts w:ascii="Verdana" w:eastAsiaTheme="minorHAnsi" w:hAnsi="Verdana" w:cs="Verdana"/>
          <w:sz w:val="26"/>
          <w:szCs w:val="26"/>
          <w:lang w:bidi="ar-SA"/>
        </w:rPr>
        <w:t xml:space="preserve"> :</w:t>
      </w:r>
      <w:proofErr w:type="gramEnd"/>
      <w:r>
        <w:rPr>
          <w:rFonts w:ascii="Verdana" w:eastAsiaTheme="minorHAnsi" w:hAnsi="Verdana" w:cs="Verdana"/>
          <w:sz w:val="26"/>
          <w:szCs w:val="26"/>
          <w:lang w:bidi="ar-SA"/>
        </w:rPr>
        <w:t xml:space="preserve">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can decrease circulating levels of T-lymphocytes; inhibit </w:t>
      </w:r>
      <w:proofErr w:type="spellStart"/>
      <w:r>
        <w:rPr>
          <w:rFonts w:ascii="Verdana" w:eastAsiaTheme="minorHAnsi" w:hAnsi="Verdana" w:cs="Verdana"/>
          <w:sz w:val="26"/>
          <w:szCs w:val="26"/>
          <w:lang w:bidi="ar-SA"/>
        </w:rPr>
        <w:t>lymphokines</w:t>
      </w:r>
      <w:proofErr w:type="spellEnd"/>
      <w:r>
        <w:rPr>
          <w:rFonts w:ascii="Verdana" w:eastAsiaTheme="minorHAnsi" w:hAnsi="Verdana" w:cs="Verdana"/>
          <w:sz w:val="26"/>
          <w:szCs w:val="26"/>
          <w:lang w:bidi="ar-SA"/>
        </w:rPr>
        <w:t xml:space="preserve">; inhibit </w:t>
      </w:r>
      <w:proofErr w:type="spellStart"/>
      <w:r>
        <w:rPr>
          <w:rFonts w:ascii="Verdana" w:eastAsiaTheme="minorHAnsi" w:hAnsi="Verdana" w:cs="Verdana"/>
          <w:sz w:val="26"/>
          <w:szCs w:val="26"/>
          <w:lang w:bidi="ar-SA"/>
        </w:rPr>
        <w:t>neutrophil</w:t>
      </w:r>
      <w:proofErr w:type="spellEnd"/>
      <w:r>
        <w:rPr>
          <w:rFonts w:ascii="Verdana" w:eastAsiaTheme="minorHAnsi" w:hAnsi="Verdana" w:cs="Verdana"/>
          <w:sz w:val="26"/>
          <w:szCs w:val="26"/>
          <w:lang w:bidi="ar-SA"/>
        </w:rPr>
        <w:t xml:space="preserve">, macrophage, and </w:t>
      </w:r>
      <w:proofErr w:type="spellStart"/>
      <w:r>
        <w:rPr>
          <w:rFonts w:ascii="Verdana" w:eastAsiaTheme="minorHAnsi" w:hAnsi="Verdana" w:cs="Verdana"/>
          <w:sz w:val="26"/>
          <w:szCs w:val="26"/>
          <w:lang w:bidi="ar-SA"/>
        </w:rPr>
        <w:t>monocyte</w:t>
      </w:r>
      <w:proofErr w:type="spellEnd"/>
      <w:r>
        <w:rPr>
          <w:rFonts w:ascii="Verdana" w:eastAsiaTheme="minorHAnsi" w:hAnsi="Verdana" w:cs="Verdana"/>
          <w:sz w:val="26"/>
          <w:szCs w:val="26"/>
          <w:lang w:bidi="ar-SA"/>
        </w:rPr>
        <w:t xml:space="preserve"> migration; reduce production of interferon; inhibit </w:t>
      </w:r>
      <w:proofErr w:type="spellStart"/>
      <w:r>
        <w:rPr>
          <w:rFonts w:ascii="Verdana" w:eastAsiaTheme="minorHAnsi" w:hAnsi="Verdana" w:cs="Verdana"/>
          <w:sz w:val="26"/>
          <w:szCs w:val="26"/>
          <w:lang w:bidi="ar-SA"/>
        </w:rPr>
        <w:t>phagocytosis</w:t>
      </w:r>
      <w:proofErr w:type="spellEnd"/>
      <w:r>
        <w:rPr>
          <w:rFonts w:ascii="Verdana" w:eastAsiaTheme="minorHAnsi" w:hAnsi="Verdana" w:cs="Verdana"/>
          <w:sz w:val="26"/>
          <w:szCs w:val="26"/>
          <w:lang w:bidi="ar-SA"/>
        </w:rPr>
        <w:t xml:space="preserve"> and </w:t>
      </w:r>
      <w:proofErr w:type="spellStart"/>
      <w:r>
        <w:rPr>
          <w:rFonts w:ascii="Verdana" w:eastAsiaTheme="minorHAnsi" w:hAnsi="Verdana" w:cs="Verdana"/>
          <w:sz w:val="26"/>
          <w:szCs w:val="26"/>
          <w:lang w:bidi="ar-SA"/>
        </w:rPr>
        <w:t>chemotaxis</w:t>
      </w:r>
      <w:proofErr w:type="spellEnd"/>
      <w:r>
        <w:rPr>
          <w:rFonts w:ascii="Verdana" w:eastAsiaTheme="minorHAnsi" w:hAnsi="Verdana" w:cs="Verdana"/>
          <w:sz w:val="26"/>
          <w:szCs w:val="26"/>
          <w:lang w:bidi="ar-SA"/>
        </w:rPr>
        <w:t xml:space="preserve">; antigen processing; and diminish intracellular killing. Specific acquired immunity is affected less than nonspecific immune responses.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can also antagonize the complement cascade and mask the clinical signs of infection. Mast cells are decreased in number and histamine synthesis is suppressed. Many of these effects only occur at high or very high doses and there are species differences in response.</w:t>
      </w:r>
    </w:p>
    <w:p w:rsidR="00A5345D" w:rsidRPr="00A5345D" w:rsidRDefault="00A5345D" w:rsidP="00A5345D">
      <w:pPr>
        <w:numPr>
          <w:ilvl w:val="1"/>
          <w:numId w:val="1"/>
        </w:numPr>
        <w:rPr>
          <w:rFonts w:ascii="MS Reference Sans Serif" w:hAnsi="MS Reference Sans Serif"/>
        </w:rPr>
      </w:pPr>
      <w:r w:rsidRPr="00A5345D">
        <w:rPr>
          <w:rFonts w:ascii="MS Reference Sans Serif" w:hAnsi="MS Reference Sans Serif"/>
        </w:rPr>
        <w:t xml:space="preserve">Repress transcription of genes responsible of pro inflammatory cytokines and adhesion molecules, thereby reducing the amplification of the immune response. </w:t>
      </w:r>
    </w:p>
    <w:p w:rsidR="00A5345D" w:rsidRPr="00A5345D" w:rsidRDefault="00A5345D" w:rsidP="00A5345D">
      <w:pPr>
        <w:numPr>
          <w:ilvl w:val="1"/>
          <w:numId w:val="1"/>
        </w:numPr>
        <w:rPr>
          <w:rFonts w:ascii="MS Reference Sans Serif" w:hAnsi="MS Reference Sans Serif"/>
        </w:rPr>
      </w:pPr>
      <w:r w:rsidRPr="00A5345D">
        <w:rPr>
          <w:rFonts w:ascii="MS Reference Sans Serif" w:hAnsi="MS Reference Sans Serif"/>
        </w:rPr>
        <w:t xml:space="preserve">Suppress complement and </w:t>
      </w:r>
      <w:proofErr w:type="spellStart"/>
      <w:r w:rsidRPr="00A5345D">
        <w:rPr>
          <w:rFonts w:ascii="MS Reference Sans Serif" w:hAnsi="MS Reference Sans Serif"/>
        </w:rPr>
        <w:t>phagocytosis</w:t>
      </w:r>
      <w:proofErr w:type="spellEnd"/>
      <w:r w:rsidRPr="00A5345D">
        <w:rPr>
          <w:rFonts w:ascii="MS Reference Sans Serif" w:hAnsi="MS Reference Sans Serif"/>
        </w:rPr>
        <w:t xml:space="preserve"> of </w:t>
      </w:r>
      <w:proofErr w:type="spellStart"/>
      <w:r w:rsidRPr="00A5345D">
        <w:rPr>
          <w:rFonts w:ascii="MS Reference Sans Serif" w:hAnsi="MS Reference Sans Serif"/>
        </w:rPr>
        <w:t>opsonized</w:t>
      </w:r>
      <w:proofErr w:type="spellEnd"/>
      <w:r w:rsidRPr="00A5345D">
        <w:rPr>
          <w:rFonts w:ascii="MS Reference Sans Serif" w:hAnsi="MS Reference Sans Serif"/>
        </w:rPr>
        <w:t xml:space="preserve"> red blood cells. </w:t>
      </w:r>
    </w:p>
    <w:p w:rsidR="00A5345D" w:rsidRPr="00A5345D" w:rsidRDefault="00A5345D" w:rsidP="00A5345D">
      <w:pPr>
        <w:numPr>
          <w:ilvl w:val="1"/>
          <w:numId w:val="1"/>
        </w:numPr>
        <w:rPr>
          <w:rFonts w:ascii="MS Reference Sans Serif" w:hAnsi="MS Reference Sans Serif"/>
        </w:rPr>
      </w:pPr>
      <w:r w:rsidRPr="00A5345D">
        <w:rPr>
          <w:rFonts w:ascii="MS Reference Sans Serif" w:hAnsi="MS Reference Sans Serif"/>
        </w:rPr>
        <w:t xml:space="preserve">Diffuse through the cell membrane and binds to </w:t>
      </w:r>
      <w:proofErr w:type="spellStart"/>
      <w:r w:rsidRPr="00A5345D">
        <w:rPr>
          <w:rFonts w:ascii="MS Reference Sans Serif" w:hAnsi="MS Reference Sans Serif"/>
        </w:rPr>
        <w:t>cytosolic</w:t>
      </w:r>
      <w:proofErr w:type="spellEnd"/>
      <w:r w:rsidRPr="00A5345D">
        <w:rPr>
          <w:rFonts w:ascii="MS Reference Sans Serif" w:hAnsi="MS Reference Sans Serif"/>
        </w:rPr>
        <w:t xml:space="preserve"> receptors that modulates nuclear translocation and modulate transcriptional activation</w:t>
      </w:r>
    </w:p>
    <w:p w:rsidR="00A5345D" w:rsidRDefault="00A5345D" w:rsidP="00A5345D">
      <w:pPr>
        <w:widowControl w:val="0"/>
        <w:autoSpaceDE w:val="0"/>
        <w:autoSpaceDN w:val="0"/>
        <w:adjustRightInd w:val="0"/>
        <w:spacing w:after="200"/>
        <w:ind w:firstLine="260"/>
        <w:rPr>
          <w:rFonts w:ascii="Verdana" w:eastAsiaTheme="minorHAnsi" w:hAnsi="Verdana" w:cs="Verdana"/>
          <w:sz w:val="26"/>
          <w:szCs w:val="26"/>
          <w:lang w:bidi="ar-SA"/>
        </w:rPr>
      </w:pPr>
    </w:p>
    <w:p w:rsidR="00A5345D" w:rsidRDefault="00A5345D" w:rsidP="00A5345D">
      <w:pPr>
        <w:widowControl w:val="0"/>
        <w:autoSpaceDE w:val="0"/>
        <w:autoSpaceDN w:val="0"/>
        <w:adjustRightInd w:val="0"/>
        <w:spacing w:after="200"/>
        <w:ind w:firstLine="260"/>
        <w:rPr>
          <w:rFonts w:ascii="Verdana" w:eastAsiaTheme="minorHAnsi" w:hAnsi="Verdana" w:cs="Verdana"/>
          <w:sz w:val="26"/>
          <w:szCs w:val="26"/>
          <w:lang w:bidi="ar-SA"/>
        </w:rPr>
      </w:pPr>
      <w:r>
        <w:rPr>
          <w:rFonts w:ascii="Verdana" w:eastAsiaTheme="minorHAnsi" w:hAnsi="Verdana" w:cs="Verdana"/>
          <w:b/>
          <w:bCs/>
          <w:sz w:val="26"/>
          <w:szCs w:val="26"/>
          <w:lang w:bidi="ar-SA"/>
        </w:rPr>
        <w:t>Metabolic effects</w:t>
      </w:r>
      <w:r>
        <w:rPr>
          <w:rFonts w:ascii="Verdana" w:eastAsiaTheme="minorHAnsi" w:hAnsi="Verdana" w:cs="Verdana"/>
          <w:sz w:val="26"/>
          <w:szCs w:val="26"/>
          <w:lang w:bidi="ar-SA"/>
        </w:rPr>
        <w:t xml:space="preserve">: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stimulate </w:t>
      </w:r>
      <w:proofErr w:type="spellStart"/>
      <w:r>
        <w:rPr>
          <w:rFonts w:ascii="Verdana" w:eastAsiaTheme="minorHAnsi" w:hAnsi="Verdana" w:cs="Verdana"/>
          <w:sz w:val="26"/>
          <w:szCs w:val="26"/>
          <w:lang w:bidi="ar-SA"/>
        </w:rPr>
        <w:t>gluconeogenesis</w:t>
      </w:r>
      <w:proofErr w:type="spellEnd"/>
      <w:r>
        <w:rPr>
          <w:rFonts w:ascii="Verdana" w:eastAsiaTheme="minorHAnsi" w:hAnsi="Verdana" w:cs="Verdana"/>
          <w:sz w:val="26"/>
          <w:szCs w:val="26"/>
          <w:lang w:bidi="ar-SA"/>
        </w:rPr>
        <w:t xml:space="preserve">. </w:t>
      </w:r>
      <w:proofErr w:type="spellStart"/>
      <w:r>
        <w:rPr>
          <w:rFonts w:ascii="Verdana" w:eastAsiaTheme="minorHAnsi" w:hAnsi="Verdana" w:cs="Verdana"/>
          <w:sz w:val="26"/>
          <w:szCs w:val="26"/>
          <w:lang w:bidi="ar-SA"/>
        </w:rPr>
        <w:t>Lipogenesis</w:t>
      </w:r>
      <w:proofErr w:type="spellEnd"/>
      <w:r>
        <w:rPr>
          <w:rFonts w:ascii="Verdana" w:eastAsiaTheme="minorHAnsi" w:hAnsi="Verdana" w:cs="Verdana"/>
          <w:sz w:val="26"/>
          <w:szCs w:val="26"/>
          <w:lang w:bidi="ar-SA"/>
        </w:rPr>
        <w:t xml:space="preserve"> is enhanced in certain areas of the body (e.g., abdomen) and adipose tissue can be redistributed away from the extremities to the trunk. Fatty acids are mobilized from tissues and their oxidation is increased. Plasma levels of triglycerides, cholesterol and glycerol are increased. Protein is mobilized from most areas of the body (not the liver).</w:t>
      </w:r>
    </w:p>
    <w:p w:rsidR="00A5345D" w:rsidRDefault="00A5345D" w:rsidP="00A5345D">
      <w:pPr>
        <w:widowControl w:val="0"/>
        <w:autoSpaceDE w:val="0"/>
        <w:autoSpaceDN w:val="0"/>
        <w:adjustRightInd w:val="0"/>
        <w:spacing w:after="200"/>
        <w:ind w:firstLine="260"/>
        <w:rPr>
          <w:rFonts w:ascii="Verdana" w:eastAsiaTheme="minorHAnsi" w:hAnsi="Verdana" w:cs="Verdana"/>
          <w:sz w:val="26"/>
          <w:szCs w:val="26"/>
          <w:lang w:bidi="ar-SA"/>
        </w:rPr>
      </w:pPr>
      <w:r>
        <w:rPr>
          <w:rFonts w:ascii="Verdana" w:eastAsiaTheme="minorHAnsi" w:hAnsi="Verdana" w:cs="Verdana"/>
          <w:b/>
          <w:bCs/>
          <w:sz w:val="26"/>
          <w:szCs w:val="26"/>
          <w:lang w:bidi="ar-SA"/>
        </w:rPr>
        <w:t>Musculoskeletal</w:t>
      </w:r>
      <w:r>
        <w:rPr>
          <w:rFonts w:ascii="Verdana" w:eastAsiaTheme="minorHAnsi" w:hAnsi="Verdana" w:cs="Verdana"/>
          <w:sz w:val="26"/>
          <w:szCs w:val="26"/>
          <w:lang w:bidi="ar-SA"/>
        </w:rPr>
        <w:t xml:space="preserve">: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may cause muscular weakness (also caused if there is a lack of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atrophy, and osteoporosis. Bone growth can be inhibited via growth hormone and </w:t>
      </w:r>
      <w:proofErr w:type="spellStart"/>
      <w:r>
        <w:rPr>
          <w:rFonts w:ascii="Verdana" w:eastAsiaTheme="minorHAnsi" w:hAnsi="Verdana" w:cs="Verdana"/>
          <w:sz w:val="26"/>
          <w:szCs w:val="26"/>
          <w:lang w:bidi="ar-SA"/>
        </w:rPr>
        <w:t>somatomedin</w:t>
      </w:r>
      <w:proofErr w:type="spellEnd"/>
      <w:r>
        <w:rPr>
          <w:rFonts w:ascii="Verdana" w:eastAsiaTheme="minorHAnsi" w:hAnsi="Verdana" w:cs="Verdana"/>
          <w:sz w:val="26"/>
          <w:szCs w:val="26"/>
          <w:lang w:bidi="ar-SA"/>
        </w:rPr>
        <w:t xml:space="preserve"> inhibition, increased calcium excretion and inhibition of vitamin D activation. </w:t>
      </w:r>
      <w:proofErr w:type="spellStart"/>
      <w:r>
        <w:rPr>
          <w:rFonts w:ascii="Verdana" w:eastAsiaTheme="minorHAnsi" w:hAnsi="Verdana" w:cs="Verdana"/>
          <w:sz w:val="26"/>
          <w:szCs w:val="26"/>
          <w:lang w:bidi="ar-SA"/>
        </w:rPr>
        <w:t>Resorption</w:t>
      </w:r>
      <w:proofErr w:type="spellEnd"/>
      <w:r>
        <w:rPr>
          <w:rFonts w:ascii="Verdana" w:eastAsiaTheme="minorHAnsi" w:hAnsi="Verdana" w:cs="Verdana"/>
          <w:sz w:val="26"/>
          <w:szCs w:val="26"/>
          <w:lang w:bidi="ar-SA"/>
        </w:rPr>
        <w:t xml:space="preserve"> of bone can be enhanced. </w:t>
      </w:r>
      <w:proofErr w:type="spellStart"/>
      <w:r>
        <w:rPr>
          <w:rFonts w:ascii="Verdana" w:eastAsiaTheme="minorHAnsi" w:hAnsi="Verdana" w:cs="Verdana"/>
          <w:sz w:val="26"/>
          <w:szCs w:val="26"/>
          <w:lang w:bidi="ar-SA"/>
        </w:rPr>
        <w:t>Fibrocartilage</w:t>
      </w:r>
      <w:proofErr w:type="spellEnd"/>
      <w:r>
        <w:rPr>
          <w:rFonts w:ascii="Verdana" w:eastAsiaTheme="minorHAnsi" w:hAnsi="Verdana" w:cs="Verdana"/>
          <w:sz w:val="26"/>
          <w:szCs w:val="26"/>
          <w:lang w:bidi="ar-SA"/>
        </w:rPr>
        <w:t xml:space="preserve"> growth is also inhibited.</w:t>
      </w:r>
    </w:p>
    <w:p w:rsidR="00A5345D" w:rsidRDefault="00A5345D" w:rsidP="00A5345D">
      <w:pPr>
        <w:widowControl w:val="0"/>
        <w:autoSpaceDE w:val="0"/>
        <w:autoSpaceDN w:val="0"/>
        <w:adjustRightInd w:val="0"/>
        <w:spacing w:after="200"/>
        <w:ind w:firstLine="260"/>
        <w:rPr>
          <w:rFonts w:ascii="Verdana" w:eastAsiaTheme="minorHAnsi" w:hAnsi="Verdana" w:cs="Verdana"/>
          <w:sz w:val="26"/>
          <w:szCs w:val="26"/>
          <w:lang w:bidi="ar-SA"/>
        </w:rPr>
      </w:pPr>
      <w:r>
        <w:rPr>
          <w:rFonts w:ascii="Verdana" w:eastAsiaTheme="minorHAnsi" w:hAnsi="Verdana" w:cs="Verdana"/>
          <w:b/>
          <w:bCs/>
          <w:sz w:val="26"/>
          <w:szCs w:val="26"/>
          <w:lang w:bidi="ar-SA"/>
        </w:rPr>
        <w:t>Ophthalmic</w:t>
      </w:r>
      <w:r>
        <w:rPr>
          <w:rFonts w:ascii="Verdana" w:eastAsiaTheme="minorHAnsi" w:hAnsi="Verdana" w:cs="Verdana"/>
          <w:sz w:val="26"/>
          <w:szCs w:val="26"/>
          <w:lang w:bidi="ar-SA"/>
        </w:rPr>
        <w:t xml:space="preserve">: Prolonged corticosteroid use (both systemic or topically to the eye) can cause increased intraocular pressure and glaucoma, cataracts and </w:t>
      </w:r>
      <w:proofErr w:type="spellStart"/>
      <w:r>
        <w:rPr>
          <w:rFonts w:ascii="Verdana" w:eastAsiaTheme="minorHAnsi" w:hAnsi="Verdana" w:cs="Verdana"/>
          <w:sz w:val="26"/>
          <w:szCs w:val="26"/>
          <w:lang w:bidi="ar-SA"/>
        </w:rPr>
        <w:t>exophthalmos</w:t>
      </w:r>
      <w:proofErr w:type="spellEnd"/>
      <w:r>
        <w:rPr>
          <w:rFonts w:ascii="Verdana" w:eastAsiaTheme="minorHAnsi" w:hAnsi="Verdana" w:cs="Verdana"/>
          <w:sz w:val="26"/>
          <w:szCs w:val="26"/>
          <w:lang w:bidi="ar-SA"/>
        </w:rPr>
        <w:t>.</w:t>
      </w:r>
    </w:p>
    <w:p w:rsidR="00A5345D" w:rsidRDefault="00A5345D" w:rsidP="00A5345D">
      <w:pPr>
        <w:widowControl w:val="0"/>
        <w:autoSpaceDE w:val="0"/>
        <w:autoSpaceDN w:val="0"/>
        <w:adjustRightInd w:val="0"/>
        <w:spacing w:after="200"/>
        <w:ind w:firstLine="260"/>
        <w:rPr>
          <w:rFonts w:ascii="Verdana" w:eastAsiaTheme="minorHAnsi" w:hAnsi="Verdana" w:cs="Verdana"/>
          <w:sz w:val="26"/>
          <w:szCs w:val="26"/>
          <w:lang w:bidi="ar-SA"/>
        </w:rPr>
      </w:pPr>
      <w:r>
        <w:rPr>
          <w:rFonts w:ascii="Verdana" w:eastAsiaTheme="minorHAnsi" w:hAnsi="Verdana" w:cs="Verdana"/>
          <w:b/>
          <w:bCs/>
          <w:sz w:val="26"/>
          <w:szCs w:val="26"/>
          <w:lang w:bidi="ar-SA"/>
        </w:rPr>
        <w:t>Renal, Fluid, &amp; Electrolytes</w:t>
      </w:r>
      <w:r>
        <w:rPr>
          <w:rFonts w:ascii="Verdana" w:eastAsiaTheme="minorHAnsi" w:hAnsi="Verdana" w:cs="Verdana"/>
          <w:sz w:val="26"/>
          <w:szCs w:val="26"/>
          <w:lang w:bidi="ar-SA"/>
        </w:rPr>
        <w:t xml:space="preserve">: </w:t>
      </w:r>
      <w:proofErr w:type="spellStart"/>
      <w:r>
        <w:rPr>
          <w:rFonts w:ascii="Verdana" w:eastAsiaTheme="minorHAnsi" w:hAnsi="Verdana" w:cs="Verdana"/>
          <w:sz w:val="26"/>
          <w:szCs w:val="26"/>
          <w:lang w:bidi="ar-SA"/>
        </w:rPr>
        <w:t>Glucocorticoids</w:t>
      </w:r>
      <w:proofErr w:type="spellEnd"/>
      <w:r>
        <w:rPr>
          <w:rFonts w:ascii="Verdana" w:eastAsiaTheme="minorHAnsi" w:hAnsi="Verdana" w:cs="Verdana"/>
          <w:sz w:val="26"/>
          <w:szCs w:val="26"/>
          <w:lang w:bidi="ar-SA"/>
        </w:rPr>
        <w:t xml:space="preserve"> can increase potassium and calcium excretion</w:t>
      </w:r>
      <w:proofErr w:type="gramStart"/>
      <w:r>
        <w:rPr>
          <w:rFonts w:ascii="Verdana" w:eastAsiaTheme="minorHAnsi" w:hAnsi="Verdana" w:cs="Verdana"/>
          <w:sz w:val="26"/>
          <w:szCs w:val="26"/>
          <w:lang w:bidi="ar-SA"/>
        </w:rPr>
        <w:t>;</w:t>
      </w:r>
      <w:proofErr w:type="gramEnd"/>
      <w:r>
        <w:rPr>
          <w:rFonts w:ascii="Verdana" w:eastAsiaTheme="minorHAnsi" w:hAnsi="Verdana" w:cs="Verdana"/>
          <w:sz w:val="26"/>
          <w:szCs w:val="26"/>
          <w:lang w:bidi="ar-SA"/>
        </w:rPr>
        <w:t xml:space="preserve"> sodium and chloride </w:t>
      </w:r>
      <w:proofErr w:type="spellStart"/>
      <w:r>
        <w:rPr>
          <w:rFonts w:ascii="Verdana" w:eastAsiaTheme="minorHAnsi" w:hAnsi="Verdana" w:cs="Verdana"/>
          <w:sz w:val="26"/>
          <w:szCs w:val="26"/>
          <w:lang w:bidi="ar-SA"/>
        </w:rPr>
        <w:t>reabsorption</w:t>
      </w:r>
      <w:proofErr w:type="spellEnd"/>
      <w:r>
        <w:rPr>
          <w:rFonts w:ascii="Verdana" w:eastAsiaTheme="minorHAnsi" w:hAnsi="Verdana" w:cs="Verdana"/>
          <w:sz w:val="26"/>
          <w:szCs w:val="26"/>
          <w:lang w:bidi="ar-SA"/>
        </w:rPr>
        <w:t xml:space="preserve"> and extracellular fluid volume. </w:t>
      </w:r>
      <w:proofErr w:type="spellStart"/>
      <w:r>
        <w:rPr>
          <w:rFonts w:ascii="Verdana" w:eastAsiaTheme="minorHAnsi" w:hAnsi="Verdana" w:cs="Verdana"/>
          <w:sz w:val="26"/>
          <w:szCs w:val="26"/>
          <w:lang w:bidi="ar-SA"/>
        </w:rPr>
        <w:t>Hypokalemia</w:t>
      </w:r>
      <w:proofErr w:type="spellEnd"/>
      <w:r>
        <w:rPr>
          <w:rFonts w:ascii="Verdana" w:eastAsiaTheme="minorHAnsi" w:hAnsi="Verdana" w:cs="Verdana"/>
          <w:sz w:val="26"/>
          <w:szCs w:val="26"/>
          <w:lang w:bidi="ar-SA"/>
        </w:rPr>
        <w:t xml:space="preserve"> and/or </w:t>
      </w:r>
      <w:proofErr w:type="spellStart"/>
      <w:r>
        <w:rPr>
          <w:rFonts w:ascii="Verdana" w:eastAsiaTheme="minorHAnsi" w:hAnsi="Verdana" w:cs="Verdana"/>
          <w:sz w:val="26"/>
          <w:szCs w:val="26"/>
          <w:lang w:bidi="ar-SA"/>
        </w:rPr>
        <w:t>hypocalcemia</w:t>
      </w:r>
      <w:proofErr w:type="spellEnd"/>
      <w:r>
        <w:rPr>
          <w:rFonts w:ascii="Verdana" w:eastAsiaTheme="minorHAnsi" w:hAnsi="Verdana" w:cs="Verdana"/>
          <w:sz w:val="26"/>
          <w:szCs w:val="26"/>
          <w:lang w:bidi="ar-SA"/>
        </w:rPr>
        <w:t xml:space="preserve"> occur rarely. </w:t>
      </w:r>
      <w:proofErr w:type="spellStart"/>
      <w:r>
        <w:rPr>
          <w:rFonts w:ascii="Verdana" w:eastAsiaTheme="minorHAnsi" w:hAnsi="Verdana" w:cs="Verdana"/>
          <w:sz w:val="26"/>
          <w:szCs w:val="26"/>
          <w:lang w:bidi="ar-SA"/>
        </w:rPr>
        <w:t>Diuresis</w:t>
      </w:r>
      <w:proofErr w:type="spellEnd"/>
      <w:r>
        <w:rPr>
          <w:rFonts w:ascii="Verdana" w:eastAsiaTheme="minorHAnsi" w:hAnsi="Verdana" w:cs="Verdana"/>
          <w:sz w:val="26"/>
          <w:szCs w:val="26"/>
          <w:lang w:bidi="ar-SA"/>
        </w:rPr>
        <w:t xml:space="preserve"> may occur following </w:t>
      </w:r>
      <w:proofErr w:type="spellStart"/>
      <w:r>
        <w:rPr>
          <w:rFonts w:ascii="Verdana" w:eastAsiaTheme="minorHAnsi" w:hAnsi="Verdana" w:cs="Verdana"/>
          <w:sz w:val="26"/>
          <w:szCs w:val="26"/>
          <w:lang w:bidi="ar-SA"/>
        </w:rPr>
        <w:t>glucocorticoid</w:t>
      </w:r>
      <w:proofErr w:type="spellEnd"/>
      <w:r>
        <w:rPr>
          <w:rFonts w:ascii="Verdana" w:eastAsiaTheme="minorHAnsi" w:hAnsi="Verdana" w:cs="Verdana"/>
          <w:sz w:val="26"/>
          <w:szCs w:val="26"/>
          <w:lang w:bidi="ar-SA"/>
        </w:rPr>
        <w:t xml:space="preserve"> administration.</w:t>
      </w:r>
    </w:p>
    <w:p w:rsidR="00A5345D" w:rsidRPr="00A5345D" w:rsidRDefault="00A5345D" w:rsidP="00A5345D">
      <w:pPr>
        <w:ind w:left="360"/>
        <w:rPr>
          <w:rFonts w:ascii="MS Reference Sans Serif" w:hAnsi="MS Reference Sans Serif"/>
        </w:rPr>
      </w:pPr>
      <w:r>
        <w:rPr>
          <w:rFonts w:ascii="Verdana" w:eastAsiaTheme="minorHAnsi" w:hAnsi="Verdana" w:cs="Verdana"/>
          <w:b/>
          <w:bCs/>
          <w:sz w:val="26"/>
          <w:szCs w:val="26"/>
          <w:lang w:bidi="ar-SA"/>
        </w:rPr>
        <w:t>Skin</w:t>
      </w:r>
      <w:r>
        <w:rPr>
          <w:rFonts w:ascii="Verdana" w:eastAsiaTheme="minorHAnsi" w:hAnsi="Verdana" w:cs="Verdana"/>
          <w:sz w:val="26"/>
          <w:szCs w:val="26"/>
          <w:lang w:bidi="ar-SA"/>
        </w:rPr>
        <w:t xml:space="preserve">: Thinning of dermal tissue and skin atrophy can be seen with </w:t>
      </w:r>
      <w:proofErr w:type="spellStart"/>
      <w:r>
        <w:rPr>
          <w:rFonts w:ascii="Verdana" w:eastAsiaTheme="minorHAnsi" w:hAnsi="Verdana" w:cs="Verdana"/>
          <w:sz w:val="26"/>
          <w:szCs w:val="26"/>
          <w:lang w:bidi="ar-SA"/>
        </w:rPr>
        <w:t>glucocorticoid</w:t>
      </w:r>
      <w:proofErr w:type="spellEnd"/>
      <w:r>
        <w:rPr>
          <w:rFonts w:ascii="Verdana" w:eastAsiaTheme="minorHAnsi" w:hAnsi="Verdana" w:cs="Verdana"/>
          <w:sz w:val="26"/>
          <w:szCs w:val="26"/>
          <w:lang w:bidi="ar-SA"/>
        </w:rPr>
        <w:t xml:space="preserve"> therapy. Hair follicles can become distended and alopecia may occur</w:t>
      </w:r>
    </w:p>
    <w:p w:rsidR="00A5345D" w:rsidRPr="00A5345D" w:rsidRDefault="00A5345D" w:rsidP="00A5345D">
      <w:pPr>
        <w:numPr>
          <w:ilvl w:val="0"/>
          <w:numId w:val="1"/>
        </w:numPr>
        <w:rPr>
          <w:rFonts w:ascii="MS Reference Sans Serif" w:hAnsi="MS Reference Sans Serif"/>
        </w:rPr>
      </w:pPr>
      <w:r w:rsidRPr="00A5345D">
        <w:rPr>
          <w:rFonts w:ascii="MS Reference Sans Serif" w:hAnsi="MS Reference Sans Serif"/>
        </w:rPr>
        <w:t>Dose</w:t>
      </w:r>
      <w:proofErr w:type="gramStart"/>
      <w:r w:rsidRPr="00A5345D">
        <w:rPr>
          <w:rFonts w:ascii="MS Reference Sans Serif" w:hAnsi="MS Reference Sans Serif"/>
        </w:rPr>
        <w:t>:1</w:t>
      </w:r>
      <w:proofErr w:type="gramEnd"/>
      <w:r w:rsidRPr="00A5345D">
        <w:rPr>
          <w:rFonts w:ascii="MS Reference Sans Serif" w:hAnsi="MS Reference Sans Serif"/>
        </w:rPr>
        <w:t xml:space="preserve">-2 mg/kg BID </w:t>
      </w:r>
    </w:p>
    <w:p w:rsidR="00A5345D" w:rsidRPr="00A5345D" w:rsidRDefault="00A5345D" w:rsidP="00A5345D">
      <w:pPr>
        <w:numPr>
          <w:ilvl w:val="0"/>
          <w:numId w:val="1"/>
        </w:numPr>
        <w:rPr>
          <w:rFonts w:ascii="MS Reference Sans Serif" w:hAnsi="MS Reference Sans Serif"/>
        </w:rPr>
      </w:pPr>
      <w:r w:rsidRPr="00A5345D">
        <w:rPr>
          <w:rFonts w:ascii="MS Reference Sans Serif" w:hAnsi="MS Reference Sans Serif"/>
        </w:rPr>
        <w:t xml:space="preserve">Adverse effect: </w:t>
      </w:r>
      <w:r>
        <w:rPr>
          <w:rFonts w:ascii="MS Reference Sans Serif" w:hAnsi="MS Reference Sans Serif"/>
        </w:rPr>
        <w:t xml:space="preserve"> Dogs: </w:t>
      </w:r>
      <w:r w:rsidRPr="00A5345D">
        <w:rPr>
          <w:rFonts w:ascii="MS Reference Sans Serif" w:hAnsi="MS Reference Sans Serif"/>
        </w:rPr>
        <w:t xml:space="preserve">iatrogenic </w:t>
      </w:r>
      <w:proofErr w:type="spellStart"/>
      <w:r w:rsidRPr="00A5345D">
        <w:rPr>
          <w:rFonts w:ascii="MS Reference Sans Serif" w:hAnsi="MS Reference Sans Serif"/>
        </w:rPr>
        <w:t>hyperadrenocorticism</w:t>
      </w:r>
      <w:proofErr w:type="spellEnd"/>
      <w:r w:rsidRPr="00A5345D">
        <w:rPr>
          <w:rFonts w:ascii="MS Reference Sans Serif" w:hAnsi="MS Reference Sans Serif"/>
        </w:rPr>
        <w:t xml:space="preserve">, </w:t>
      </w:r>
      <w:proofErr w:type="spellStart"/>
      <w:r>
        <w:rPr>
          <w:rFonts w:ascii="Verdana" w:eastAsiaTheme="minorHAnsi" w:hAnsi="Verdana" w:cs="Verdana"/>
          <w:sz w:val="26"/>
          <w:szCs w:val="26"/>
          <w:lang w:bidi="ar-SA"/>
        </w:rPr>
        <w:t>polydipsia</w:t>
      </w:r>
      <w:proofErr w:type="spellEnd"/>
      <w:r>
        <w:rPr>
          <w:rFonts w:ascii="Verdana" w:eastAsiaTheme="minorHAnsi" w:hAnsi="Verdana" w:cs="Verdana"/>
          <w:sz w:val="26"/>
          <w:szCs w:val="26"/>
          <w:lang w:bidi="ar-SA"/>
        </w:rPr>
        <w:t xml:space="preserve"> (PD), </w:t>
      </w:r>
      <w:proofErr w:type="spellStart"/>
      <w:r>
        <w:rPr>
          <w:rFonts w:ascii="Verdana" w:eastAsiaTheme="minorHAnsi" w:hAnsi="Verdana" w:cs="Verdana"/>
          <w:sz w:val="26"/>
          <w:szCs w:val="26"/>
          <w:lang w:bidi="ar-SA"/>
        </w:rPr>
        <w:t>polyphagia</w:t>
      </w:r>
      <w:proofErr w:type="spellEnd"/>
      <w:r>
        <w:rPr>
          <w:rFonts w:ascii="Verdana" w:eastAsiaTheme="minorHAnsi" w:hAnsi="Verdana" w:cs="Verdana"/>
          <w:sz w:val="26"/>
          <w:szCs w:val="26"/>
          <w:lang w:bidi="ar-SA"/>
        </w:rPr>
        <w:t xml:space="preserve"> (PP) and </w:t>
      </w:r>
      <w:proofErr w:type="spellStart"/>
      <w:r>
        <w:rPr>
          <w:rFonts w:ascii="Verdana" w:eastAsiaTheme="minorHAnsi" w:hAnsi="Verdana" w:cs="Verdana"/>
          <w:sz w:val="26"/>
          <w:szCs w:val="26"/>
          <w:lang w:bidi="ar-SA"/>
        </w:rPr>
        <w:t>polyuria</w:t>
      </w:r>
      <w:proofErr w:type="spellEnd"/>
      <w:r>
        <w:rPr>
          <w:rFonts w:ascii="Verdana" w:eastAsiaTheme="minorHAnsi" w:hAnsi="Verdana" w:cs="Verdana"/>
          <w:sz w:val="26"/>
          <w:szCs w:val="26"/>
          <w:lang w:bidi="ar-SA"/>
        </w:rPr>
        <w:t xml:space="preserve"> (PU).</w:t>
      </w:r>
      <w:r w:rsidRPr="00A5345D">
        <w:rPr>
          <w:rFonts w:ascii="Verdana" w:eastAsiaTheme="minorHAnsi" w:hAnsi="Verdana" w:cs="Verdana"/>
          <w:sz w:val="26"/>
          <w:szCs w:val="26"/>
          <w:lang w:bidi="ar-SA"/>
        </w:rPr>
        <w:t xml:space="preserve"> </w:t>
      </w:r>
      <w:r>
        <w:rPr>
          <w:rFonts w:ascii="Verdana" w:eastAsiaTheme="minorHAnsi" w:hAnsi="Verdana" w:cs="Verdana"/>
          <w:sz w:val="26"/>
          <w:szCs w:val="26"/>
          <w:lang w:bidi="ar-SA"/>
        </w:rPr>
        <w:t xml:space="preserve">Dull, dry </w:t>
      </w:r>
      <w:proofErr w:type="spellStart"/>
      <w:r>
        <w:rPr>
          <w:rFonts w:ascii="Verdana" w:eastAsiaTheme="minorHAnsi" w:hAnsi="Verdana" w:cs="Verdana"/>
          <w:sz w:val="26"/>
          <w:szCs w:val="26"/>
          <w:lang w:bidi="ar-SA"/>
        </w:rPr>
        <w:t>haircoat</w:t>
      </w:r>
      <w:proofErr w:type="spellEnd"/>
      <w:r>
        <w:rPr>
          <w:rFonts w:ascii="Verdana" w:eastAsiaTheme="minorHAnsi" w:hAnsi="Verdana" w:cs="Verdana"/>
          <w:sz w:val="26"/>
          <w:szCs w:val="26"/>
          <w:lang w:bidi="ar-SA"/>
        </w:rPr>
        <w:t xml:space="preserve">, weight gain, panting, vomiting, diarrhea, elevated liver enzymes, pancreatitis, GI ulceration, </w:t>
      </w:r>
      <w:proofErr w:type="spellStart"/>
      <w:r>
        <w:rPr>
          <w:rFonts w:ascii="Verdana" w:eastAsiaTheme="minorHAnsi" w:hAnsi="Verdana" w:cs="Verdana"/>
          <w:sz w:val="26"/>
          <w:szCs w:val="26"/>
          <w:lang w:bidi="ar-SA"/>
        </w:rPr>
        <w:t>lipidemias</w:t>
      </w:r>
      <w:proofErr w:type="spellEnd"/>
      <w:r>
        <w:rPr>
          <w:rFonts w:ascii="Verdana" w:eastAsiaTheme="minorHAnsi" w:hAnsi="Verdana" w:cs="Verdana"/>
          <w:sz w:val="26"/>
          <w:szCs w:val="26"/>
          <w:lang w:bidi="ar-SA"/>
        </w:rPr>
        <w:t>, activation or worsening of diabetes mellitus, muscle wasting and behavioral changes (depression, lethargy, viciousness).</w:t>
      </w:r>
    </w:p>
    <w:p w:rsidR="00A5345D" w:rsidRPr="00A5345D" w:rsidRDefault="00A5345D" w:rsidP="00A5345D">
      <w:pPr>
        <w:numPr>
          <w:ilvl w:val="0"/>
          <w:numId w:val="1"/>
        </w:numPr>
        <w:rPr>
          <w:rFonts w:ascii="MS Reference Sans Serif" w:hAnsi="MS Reference Sans Serif"/>
        </w:rPr>
      </w:pPr>
      <w:r>
        <w:rPr>
          <w:rFonts w:ascii="Verdana" w:eastAsiaTheme="minorHAnsi" w:hAnsi="Verdana" w:cs="Verdana"/>
          <w:sz w:val="26"/>
          <w:szCs w:val="26"/>
          <w:lang w:bidi="ar-SA"/>
        </w:rPr>
        <w:t xml:space="preserve">Cats: fewer side effects: Occasionally, </w:t>
      </w:r>
      <w:proofErr w:type="spellStart"/>
      <w:r>
        <w:rPr>
          <w:rFonts w:ascii="Verdana" w:eastAsiaTheme="minorHAnsi" w:hAnsi="Verdana" w:cs="Verdana"/>
          <w:sz w:val="26"/>
          <w:szCs w:val="26"/>
          <w:lang w:bidi="ar-SA"/>
        </w:rPr>
        <w:t>polydipsia</w:t>
      </w:r>
      <w:proofErr w:type="spellEnd"/>
      <w:r>
        <w:rPr>
          <w:rFonts w:ascii="Verdana" w:eastAsiaTheme="minorHAnsi" w:hAnsi="Verdana" w:cs="Verdana"/>
          <w:sz w:val="26"/>
          <w:szCs w:val="26"/>
          <w:lang w:bidi="ar-SA"/>
        </w:rPr>
        <w:t xml:space="preserve">, </w:t>
      </w:r>
      <w:proofErr w:type="spellStart"/>
      <w:r>
        <w:rPr>
          <w:rFonts w:ascii="Verdana" w:eastAsiaTheme="minorHAnsi" w:hAnsi="Verdana" w:cs="Verdana"/>
          <w:sz w:val="26"/>
          <w:szCs w:val="26"/>
          <w:lang w:bidi="ar-SA"/>
        </w:rPr>
        <w:t>polyuria</w:t>
      </w:r>
      <w:proofErr w:type="spellEnd"/>
      <w:r>
        <w:rPr>
          <w:rFonts w:ascii="Verdana" w:eastAsiaTheme="minorHAnsi" w:hAnsi="Verdana" w:cs="Verdana"/>
          <w:sz w:val="26"/>
          <w:szCs w:val="26"/>
          <w:lang w:bidi="ar-SA"/>
        </w:rPr>
        <w:t xml:space="preserve">, </w:t>
      </w:r>
      <w:proofErr w:type="spellStart"/>
      <w:r>
        <w:rPr>
          <w:rFonts w:ascii="Verdana" w:eastAsiaTheme="minorHAnsi" w:hAnsi="Verdana" w:cs="Verdana"/>
          <w:sz w:val="26"/>
          <w:szCs w:val="26"/>
          <w:lang w:bidi="ar-SA"/>
        </w:rPr>
        <w:t>polyphagia</w:t>
      </w:r>
      <w:proofErr w:type="spellEnd"/>
      <w:r>
        <w:rPr>
          <w:rFonts w:ascii="Verdana" w:eastAsiaTheme="minorHAnsi" w:hAnsi="Verdana" w:cs="Verdana"/>
          <w:sz w:val="26"/>
          <w:szCs w:val="26"/>
          <w:lang w:bidi="ar-SA"/>
        </w:rPr>
        <w:t xml:space="preserve"> with weight gain, diarrhea, or depression can be seen. Long-term, high dose therapy can lead to "</w:t>
      </w:r>
      <w:proofErr w:type="spellStart"/>
      <w:r>
        <w:rPr>
          <w:rFonts w:ascii="Verdana" w:eastAsiaTheme="minorHAnsi" w:hAnsi="Verdana" w:cs="Verdana"/>
          <w:sz w:val="26"/>
          <w:szCs w:val="26"/>
          <w:lang w:bidi="ar-SA"/>
        </w:rPr>
        <w:t>Cushingoid</w:t>
      </w:r>
      <w:proofErr w:type="spellEnd"/>
      <w:r>
        <w:rPr>
          <w:rFonts w:ascii="Verdana" w:eastAsiaTheme="minorHAnsi" w:hAnsi="Verdana" w:cs="Verdana"/>
          <w:sz w:val="26"/>
          <w:szCs w:val="26"/>
          <w:lang w:bidi="ar-SA"/>
        </w:rPr>
        <w:t>" effects, however.</w:t>
      </w:r>
    </w:p>
    <w:p w:rsidR="00A5345D" w:rsidRPr="00A5345D" w:rsidRDefault="00A5345D" w:rsidP="00A5345D">
      <w:pPr>
        <w:rPr>
          <w:rFonts w:ascii="MS Reference Sans Serif" w:hAnsi="MS Reference Sans Serif"/>
        </w:rPr>
      </w:pPr>
    </w:p>
    <w:p w:rsidR="00A5345D" w:rsidRPr="00A5345D" w:rsidRDefault="00A5345D" w:rsidP="00A5345D">
      <w:pPr>
        <w:rPr>
          <w:rFonts w:ascii="MS Reference Sans Serif" w:hAnsi="MS Reference Sans Serif"/>
        </w:rPr>
      </w:pPr>
    </w:p>
    <w:p w:rsidR="00A5345D" w:rsidRPr="00532BAF" w:rsidRDefault="00A5345D" w:rsidP="00A5345D">
      <w:pPr>
        <w:rPr>
          <w:rFonts w:ascii="MS Reference Sans Serif" w:hAnsi="MS Reference Sans Serif"/>
          <w:b/>
          <w:u w:val="single"/>
        </w:rPr>
      </w:pPr>
      <w:proofErr w:type="spellStart"/>
      <w:r w:rsidRPr="00532BAF">
        <w:rPr>
          <w:rFonts w:ascii="MS Reference Sans Serif" w:hAnsi="MS Reference Sans Serif"/>
          <w:b/>
          <w:u w:val="single"/>
        </w:rPr>
        <w:t>Azathioprine</w:t>
      </w:r>
      <w:proofErr w:type="spellEnd"/>
    </w:p>
    <w:p w:rsidR="00A5345D" w:rsidRPr="00A5345D" w:rsidRDefault="00A5345D" w:rsidP="00A5345D">
      <w:pPr>
        <w:numPr>
          <w:ilvl w:val="0"/>
          <w:numId w:val="2"/>
        </w:numPr>
        <w:rPr>
          <w:rFonts w:ascii="MS Reference Sans Serif" w:hAnsi="MS Reference Sans Serif"/>
        </w:rPr>
      </w:pPr>
      <w:r w:rsidRPr="00A5345D">
        <w:rPr>
          <w:rFonts w:ascii="MS Reference Sans Serif" w:hAnsi="MS Reference Sans Serif"/>
        </w:rPr>
        <w:t>Mechanism of action:</w:t>
      </w:r>
    </w:p>
    <w:p w:rsidR="00A5345D" w:rsidRPr="00A5345D" w:rsidRDefault="00A5345D" w:rsidP="00A5345D">
      <w:pPr>
        <w:numPr>
          <w:ilvl w:val="1"/>
          <w:numId w:val="2"/>
        </w:numPr>
        <w:rPr>
          <w:rFonts w:ascii="MS Reference Sans Serif" w:hAnsi="MS Reference Sans Serif"/>
        </w:rPr>
      </w:pPr>
      <w:r w:rsidRPr="00A5345D">
        <w:rPr>
          <w:rFonts w:ascii="MS Reference Sans Serif" w:hAnsi="MS Reference Sans Serif"/>
        </w:rPr>
        <w:t xml:space="preserve">Competitive </w:t>
      </w:r>
      <w:proofErr w:type="spellStart"/>
      <w:r w:rsidRPr="00A5345D">
        <w:rPr>
          <w:rFonts w:ascii="MS Reference Sans Serif" w:hAnsi="MS Reference Sans Serif"/>
        </w:rPr>
        <w:t>purine</w:t>
      </w:r>
      <w:proofErr w:type="spellEnd"/>
      <w:r w:rsidRPr="00A5345D">
        <w:rPr>
          <w:rFonts w:ascii="MS Reference Sans Serif" w:hAnsi="MS Reference Sans Serif"/>
        </w:rPr>
        <w:t xml:space="preserve"> antagonist that leads to inhibition of cellular proliferation</w:t>
      </w:r>
    </w:p>
    <w:p w:rsidR="00A5345D" w:rsidRPr="00A5345D" w:rsidRDefault="00A5345D" w:rsidP="00A5345D">
      <w:pPr>
        <w:numPr>
          <w:ilvl w:val="1"/>
          <w:numId w:val="2"/>
        </w:numPr>
        <w:rPr>
          <w:rFonts w:ascii="MS Reference Sans Serif" w:hAnsi="MS Reference Sans Serif"/>
        </w:rPr>
      </w:pPr>
      <w:r w:rsidRPr="00A5345D">
        <w:rPr>
          <w:rFonts w:ascii="MS Reference Sans Serif" w:hAnsi="MS Reference Sans Serif"/>
        </w:rPr>
        <w:t>Suppress lymphocyte activation and proliferation</w:t>
      </w:r>
    </w:p>
    <w:p w:rsidR="00A5345D" w:rsidRPr="00A5345D" w:rsidRDefault="00A5345D" w:rsidP="00A5345D">
      <w:pPr>
        <w:numPr>
          <w:ilvl w:val="1"/>
          <w:numId w:val="2"/>
        </w:numPr>
        <w:rPr>
          <w:rFonts w:ascii="MS Reference Sans Serif" w:hAnsi="MS Reference Sans Serif"/>
        </w:rPr>
      </w:pPr>
      <w:r w:rsidRPr="00A5345D">
        <w:rPr>
          <w:rFonts w:ascii="MS Reference Sans Serif" w:hAnsi="MS Reference Sans Serif"/>
        </w:rPr>
        <w:t>Reduces antibody production,</w:t>
      </w:r>
    </w:p>
    <w:p w:rsidR="00A5345D" w:rsidRPr="00A5345D" w:rsidRDefault="00A5345D" w:rsidP="00A5345D">
      <w:pPr>
        <w:numPr>
          <w:ilvl w:val="1"/>
          <w:numId w:val="2"/>
        </w:numPr>
        <w:rPr>
          <w:rFonts w:ascii="MS Reference Sans Serif" w:hAnsi="MS Reference Sans Serif"/>
        </w:rPr>
      </w:pPr>
      <w:r w:rsidRPr="00A5345D">
        <w:rPr>
          <w:rFonts w:ascii="MS Reference Sans Serif" w:hAnsi="MS Reference Sans Serif"/>
        </w:rPr>
        <w:t xml:space="preserve">Affects more the cellular immunity than the </w:t>
      </w:r>
      <w:proofErr w:type="spellStart"/>
      <w:r w:rsidRPr="00A5345D">
        <w:rPr>
          <w:rFonts w:ascii="MS Reference Sans Serif" w:hAnsi="MS Reference Sans Serif"/>
        </w:rPr>
        <w:t>humoral</w:t>
      </w:r>
      <w:proofErr w:type="spellEnd"/>
      <w:r w:rsidRPr="00A5345D">
        <w:rPr>
          <w:rFonts w:ascii="MS Reference Sans Serif" w:hAnsi="MS Reference Sans Serif"/>
        </w:rPr>
        <w:t xml:space="preserve"> immunity.</w:t>
      </w:r>
    </w:p>
    <w:p w:rsidR="00A5345D" w:rsidRPr="00A5345D" w:rsidRDefault="00A5345D" w:rsidP="00A5345D">
      <w:pPr>
        <w:numPr>
          <w:ilvl w:val="1"/>
          <w:numId w:val="2"/>
        </w:numPr>
        <w:rPr>
          <w:rFonts w:ascii="MS Reference Sans Serif" w:hAnsi="MS Reference Sans Serif"/>
        </w:rPr>
      </w:pPr>
      <w:r w:rsidRPr="00A5345D">
        <w:rPr>
          <w:rFonts w:ascii="MS Reference Sans Serif" w:hAnsi="MS Reference Sans Serif"/>
        </w:rPr>
        <w:t xml:space="preserve">Establish antigen specific tolerance decreases the risk of </w:t>
      </w:r>
      <w:proofErr w:type="spellStart"/>
      <w:r w:rsidRPr="00A5345D">
        <w:rPr>
          <w:rFonts w:ascii="MS Reference Sans Serif" w:hAnsi="MS Reference Sans Serif"/>
        </w:rPr>
        <w:t>telapse</w:t>
      </w:r>
      <w:proofErr w:type="spellEnd"/>
    </w:p>
    <w:p w:rsidR="00A5345D" w:rsidRPr="00A5345D" w:rsidRDefault="00A5345D" w:rsidP="00A5345D">
      <w:pPr>
        <w:numPr>
          <w:ilvl w:val="1"/>
          <w:numId w:val="2"/>
        </w:numPr>
        <w:rPr>
          <w:rFonts w:ascii="MS Reference Sans Serif" w:hAnsi="MS Reference Sans Serif"/>
        </w:rPr>
      </w:pPr>
      <w:r w:rsidRPr="00A5345D">
        <w:rPr>
          <w:rFonts w:ascii="MS Reference Sans Serif" w:hAnsi="MS Reference Sans Serif"/>
        </w:rPr>
        <w:t xml:space="preserve">Suppresses macrophage function and decreases inflammatory cytokines production and </w:t>
      </w:r>
      <w:proofErr w:type="spellStart"/>
      <w:r w:rsidRPr="00A5345D">
        <w:rPr>
          <w:rFonts w:ascii="MS Reference Sans Serif" w:hAnsi="MS Reference Sans Serif"/>
        </w:rPr>
        <w:t>phagocytic</w:t>
      </w:r>
      <w:proofErr w:type="spellEnd"/>
      <w:r w:rsidRPr="00A5345D">
        <w:rPr>
          <w:rFonts w:ascii="MS Reference Sans Serif" w:hAnsi="MS Reference Sans Serif"/>
        </w:rPr>
        <w:t xml:space="preserve"> efficient</w:t>
      </w:r>
    </w:p>
    <w:p w:rsidR="00A5345D" w:rsidRPr="00A5345D" w:rsidRDefault="00A5345D" w:rsidP="00A5345D">
      <w:pPr>
        <w:numPr>
          <w:ilvl w:val="0"/>
          <w:numId w:val="2"/>
        </w:numPr>
        <w:rPr>
          <w:rFonts w:ascii="MS Reference Sans Serif" w:hAnsi="MS Reference Sans Serif"/>
        </w:rPr>
      </w:pPr>
      <w:r w:rsidRPr="00A5345D">
        <w:rPr>
          <w:rFonts w:ascii="MS Reference Sans Serif" w:hAnsi="MS Reference Sans Serif"/>
        </w:rPr>
        <w:t>Dose: 2 mg/kg PO q 24h for 2 weeks the 2 mg/kg PO every other day (Plumbs)</w:t>
      </w:r>
      <w:r>
        <w:rPr>
          <w:rFonts w:ascii="MS Reference Sans Serif" w:hAnsi="MS Reference Sans Serif"/>
        </w:rPr>
        <w:t xml:space="preserve"> may take up to 6 weeks to work. </w:t>
      </w:r>
    </w:p>
    <w:p w:rsidR="00A5345D" w:rsidRPr="00A5345D" w:rsidRDefault="00A5345D" w:rsidP="00A5345D">
      <w:pPr>
        <w:numPr>
          <w:ilvl w:val="0"/>
          <w:numId w:val="2"/>
        </w:numPr>
        <w:rPr>
          <w:rFonts w:ascii="MS Reference Sans Serif" w:hAnsi="MS Reference Sans Serif"/>
        </w:rPr>
      </w:pPr>
      <w:r w:rsidRPr="00A5345D">
        <w:rPr>
          <w:rFonts w:ascii="MS Reference Sans Serif" w:hAnsi="MS Reference Sans Serif"/>
        </w:rPr>
        <w:t>Adverse effect: Bone marrow suppression</w:t>
      </w:r>
      <w:r w:rsidRPr="00A5345D">
        <w:rPr>
          <w:rFonts w:ascii="Verdana" w:eastAsiaTheme="minorHAnsi" w:hAnsi="Verdana" w:cs="Verdana"/>
          <w:sz w:val="26"/>
          <w:szCs w:val="26"/>
          <w:lang w:bidi="ar-SA"/>
        </w:rPr>
        <w:t xml:space="preserve"> </w:t>
      </w:r>
      <w:r>
        <w:rPr>
          <w:rFonts w:ascii="Verdana" w:eastAsiaTheme="minorHAnsi" w:hAnsi="Verdana" w:cs="Verdana"/>
          <w:sz w:val="26"/>
          <w:szCs w:val="26"/>
          <w:lang w:bidi="ar-SA"/>
        </w:rPr>
        <w:t xml:space="preserve">Cats are more prone to develop these effects and the drug is generally not recommended for use in that species. </w:t>
      </w:r>
      <w:proofErr w:type="spellStart"/>
      <w:r>
        <w:rPr>
          <w:rFonts w:ascii="Verdana" w:eastAsiaTheme="minorHAnsi" w:hAnsi="Verdana" w:cs="Verdana"/>
          <w:sz w:val="26"/>
          <w:szCs w:val="26"/>
          <w:lang w:bidi="ar-SA"/>
        </w:rPr>
        <w:t>Leukopenia</w:t>
      </w:r>
      <w:proofErr w:type="spellEnd"/>
      <w:r>
        <w:rPr>
          <w:rFonts w:ascii="Verdana" w:eastAsiaTheme="minorHAnsi" w:hAnsi="Verdana" w:cs="Verdana"/>
          <w:sz w:val="26"/>
          <w:szCs w:val="26"/>
          <w:lang w:bidi="ar-SA"/>
        </w:rPr>
        <w:t xml:space="preserve"> is the prevalent consequence, but </w:t>
      </w:r>
      <w:proofErr w:type="spellStart"/>
      <w:r>
        <w:rPr>
          <w:rFonts w:ascii="Verdana" w:eastAsiaTheme="minorHAnsi" w:hAnsi="Verdana" w:cs="Verdana"/>
          <w:sz w:val="26"/>
          <w:szCs w:val="26"/>
          <w:lang w:bidi="ar-SA"/>
        </w:rPr>
        <w:t>anemias</w:t>
      </w:r>
      <w:proofErr w:type="spellEnd"/>
      <w:r>
        <w:rPr>
          <w:rFonts w:ascii="Verdana" w:eastAsiaTheme="minorHAnsi" w:hAnsi="Verdana" w:cs="Verdana"/>
          <w:sz w:val="26"/>
          <w:szCs w:val="26"/>
          <w:lang w:bidi="ar-SA"/>
        </w:rPr>
        <w:t xml:space="preserve"> and thrombocytopenia may also be seen. GI upset, poor hair growth, acute pancreatitis and </w:t>
      </w:r>
      <w:proofErr w:type="spellStart"/>
      <w:r>
        <w:rPr>
          <w:rFonts w:ascii="Verdana" w:eastAsiaTheme="minorHAnsi" w:hAnsi="Verdana" w:cs="Verdana"/>
          <w:sz w:val="26"/>
          <w:szCs w:val="26"/>
          <w:lang w:bidi="ar-SA"/>
        </w:rPr>
        <w:t>hepatotoxicity</w:t>
      </w:r>
      <w:proofErr w:type="spellEnd"/>
      <w:r>
        <w:rPr>
          <w:rFonts w:ascii="Verdana" w:eastAsiaTheme="minorHAnsi" w:hAnsi="Verdana" w:cs="Verdana"/>
          <w:sz w:val="26"/>
          <w:szCs w:val="26"/>
          <w:lang w:bidi="ar-SA"/>
        </w:rPr>
        <w:t xml:space="preserve"> have also been associated with </w:t>
      </w:r>
      <w:proofErr w:type="spellStart"/>
      <w:r>
        <w:rPr>
          <w:rFonts w:ascii="Verdana" w:eastAsiaTheme="minorHAnsi" w:hAnsi="Verdana" w:cs="Verdana"/>
          <w:sz w:val="26"/>
          <w:szCs w:val="26"/>
          <w:lang w:bidi="ar-SA"/>
        </w:rPr>
        <w:t>azathioprine</w:t>
      </w:r>
      <w:proofErr w:type="spellEnd"/>
      <w:r>
        <w:rPr>
          <w:rFonts w:ascii="Verdana" w:eastAsiaTheme="minorHAnsi" w:hAnsi="Verdana" w:cs="Verdana"/>
          <w:sz w:val="26"/>
          <w:szCs w:val="26"/>
          <w:lang w:bidi="ar-SA"/>
        </w:rPr>
        <w:t xml:space="preserve"> therapy in dogs.</w:t>
      </w:r>
    </w:p>
    <w:p w:rsidR="00222370" w:rsidRDefault="00222370"/>
    <w:p w:rsidR="00222370" w:rsidRPr="00A5345D" w:rsidRDefault="00222370">
      <w:pPr>
        <w:rPr>
          <w:rFonts w:ascii="MS Reference Sans Serif" w:hAnsi="MS Reference Sans Serif"/>
          <w:b/>
          <w:u w:val="single"/>
        </w:rPr>
      </w:pPr>
      <w:r w:rsidRPr="00A5345D">
        <w:rPr>
          <w:rFonts w:ascii="MS Reference Sans Serif" w:hAnsi="MS Reference Sans Serif"/>
          <w:b/>
          <w:u w:val="single"/>
        </w:rPr>
        <w:t>N</w:t>
      </w:r>
      <w:r w:rsidR="00532BAF">
        <w:rPr>
          <w:rFonts w:ascii="MS Reference Sans Serif" w:hAnsi="MS Reference Sans Serif"/>
          <w:b/>
          <w:u w:val="single"/>
        </w:rPr>
        <w:t>-</w:t>
      </w:r>
      <w:r w:rsidRPr="00A5345D">
        <w:rPr>
          <w:rFonts w:ascii="MS Reference Sans Serif" w:hAnsi="MS Reference Sans Serif"/>
          <w:b/>
          <w:u w:val="single"/>
        </w:rPr>
        <w:t>A</w:t>
      </w:r>
      <w:r w:rsidR="00532BAF">
        <w:rPr>
          <w:rFonts w:ascii="MS Reference Sans Serif" w:hAnsi="MS Reference Sans Serif"/>
          <w:b/>
          <w:u w:val="single"/>
        </w:rPr>
        <w:t xml:space="preserve">cetyl </w:t>
      </w:r>
      <w:proofErr w:type="spellStart"/>
      <w:r w:rsidR="00532BAF">
        <w:rPr>
          <w:rFonts w:ascii="MS Reference Sans Serif" w:hAnsi="MS Reference Sans Serif"/>
          <w:b/>
          <w:u w:val="single"/>
        </w:rPr>
        <w:t>C</w:t>
      </w:r>
      <w:r w:rsidR="00A5345D" w:rsidRPr="00A5345D">
        <w:rPr>
          <w:rFonts w:ascii="MS Reference Sans Serif" w:hAnsi="MS Reference Sans Serif"/>
          <w:b/>
          <w:u w:val="single"/>
        </w:rPr>
        <w:t>ysteine</w:t>
      </w:r>
      <w:proofErr w:type="spellEnd"/>
      <w:r w:rsidRPr="00A5345D">
        <w:rPr>
          <w:rFonts w:ascii="MS Reference Sans Serif" w:hAnsi="MS Reference Sans Serif"/>
          <w:b/>
          <w:u w:val="single"/>
        </w:rPr>
        <w:t>:</w:t>
      </w:r>
    </w:p>
    <w:p w:rsidR="00A5345D" w:rsidRPr="00A5345D" w:rsidRDefault="00A5345D" w:rsidP="00A5345D">
      <w:pPr>
        <w:pStyle w:val="ListParagraph"/>
        <w:numPr>
          <w:ilvl w:val="0"/>
          <w:numId w:val="3"/>
        </w:numPr>
        <w:rPr>
          <w:rFonts w:ascii="MS Reference Sans Serif" w:hAnsi="MS Reference Sans Serif"/>
        </w:rPr>
      </w:pPr>
      <w:r>
        <w:rPr>
          <w:rFonts w:ascii="MS Reference Sans Serif" w:eastAsia="新細明體" w:hAnsi="新細明體" w:cs="新細明體"/>
        </w:rPr>
        <w:t xml:space="preserve">Mechanism of </w:t>
      </w:r>
      <w:proofErr w:type="spellStart"/>
      <w:r>
        <w:rPr>
          <w:rFonts w:ascii="MS Reference Sans Serif" w:eastAsia="新細明體" w:hAnsi="新細明體" w:cs="新細明體"/>
        </w:rPr>
        <w:t>action</w:t>
      </w:r>
      <w:proofErr w:type="spellEnd"/>
      <w:r>
        <w:rPr>
          <w:rFonts w:ascii="MS Reference Sans Serif" w:eastAsia="新細明體" w:hAnsi="新細明體" w:cs="新細明體"/>
        </w:rPr>
        <w:t xml:space="preserve">: </w:t>
      </w:r>
    </w:p>
    <w:p w:rsidR="00222370" w:rsidRPr="00A5345D" w:rsidRDefault="00222370" w:rsidP="00222370">
      <w:pPr>
        <w:pStyle w:val="ListParagraph"/>
        <w:numPr>
          <w:ilvl w:val="1"/>
          <w:numId w:val="3"/>
        </w:numPr>
        <w:rPr>
          <w:rFonts w:ascii="MS Reference Sans Serif" w:hAnsi="MS Reference Sans Serif"/>
        </w:rPr>
      </w:pPr>
      <w:proofErr w:type="spellStart"/>
      <w:r w:rsidRPr="00A5345D">
        <w:rPr>
          <w:rFonts w:ascii="MS Reference Sans Serif" w:hAnsi="MS Reference Sans Serif"/>
        </w:rPr>
        <w:t>Cystein</w:t>
      </w:r>
      <w:proofErr w:type="spellEnd"/>
      <w:r w:rsidRPr="00A5345D">
        <w:rPr>
          <w:rFonts w:ascii="MS Reference Sans Serif" w:hAnsi="MS Reference Sans Serif"/>
        </w:rPr>
        <w:t xml:space="preserve"> donor</w:t>
      </w:r>
      <w:r w:rsidR="00A5345D">
        <w:rPr>
          <w:rFonts w:ascii="MS Reference Sans Serif" w:hAnsi="MS Reference Sans Serif"/>
        </w:rPr>
        <w:t xml:space="preserve"> -&gt; enters </w:t>
      </w:r>
      <w:proofErr w:type="spellStart"/>
      <w:r w:rsidR="00A5345D">
        <w:rPr>
          <w:rFonts w:ascii="MS Reference Sans Serif" w:hAnsi="MS Reference Sans Serif"/>
        </w:rPr>
        <w:t>hepatocytes</w:t>
      </w:r>
      <w:proofErr w:type="spellEnd"/>
    </w:p>
    <w:p w:rsidR="00222370" w:rsidRPr="00A5345D" w:rsidRDefault="00222370" w:rsidP="00A5345D">
      <w:pPr>
        <w:ind w:left="1080" w:firstLine="720"/>
        <w:rPr>
          <w:rFonts w:ascii="MS Reference Sans Serif" w:hAnsi="MS Reference Sans Serif"/>
        </w:rPr>
      </w:pPr>
      <w:r w:rsidRPr="00A5345D">
        <w:rPr>
          <w:rFonts w:ascii="MS Reference Sans Serif" w:hAnsi="MS Reference Sans Serif"/>
        </w:rPr>
        <w:t>›Stimulate GSH synthesis</w:t>
      </w:r>
    </w:p>
    <w:p w:rsidR="00222370" w:rsidRPr="00A5345D" w:rsidRDefault="00222370" w:rsidP="00A5345D">
      <w:pPr>
        <w:ind w:left="720" w:firstLine="720"/>
        <w:rPr>
          <w:rFonts w:ascii="MS Reference Sans Serif" w:hAnsi="MS Reference Sans Serif"/>
        </w:rPr>
      </w:pPr>
      <w:r w:rsidRPr="00A5345D">
        <w:rPr>
          <w:rFonts w:ascii="MS Reference Sans Serif" w:hAnsi="MS Reference Sans Serif"/>
        </w:rPr>
        <w:t xml:space="preserve">›Enhance glutathione S </w:t>
      </w:r>
      <w:proofErr w:type="spellStart"/>
      <w:r w:rsidRPr="00A5345D">
        <w:rPr>
          <w:rFonts w:ascii="MS Reference Sans Serif" w:hAnsi="MS Reference Sans Serif"/>
        </w:rPr>
        <w:t>transferase</w:t>
      </w:r>
      <w:proofErr w:type="spellEnd"/>
      <w:r w:rsidRPr="00A5345D">
        <w:rPr>
          <w:rFonts w:ascii="MS Reference Sans Serif" w:hAnsi="MS Reference Sans Serif"/>
        </w:rPr>
        <w:t xml:space="preserve"> activity</w:t>
      </w:r>
    </w:p>
    <w:p w:rsidR="00222370" w:rsidRPr="00A5345D" w:rsidRDefault="00222370" w:rsidP="00A5345D">
      <w:pPr>
        <w:ind w:left="720" w:firstLine="720"/>
        <w:rPr>
          <w:rFonts w:ascii="MS Reference Sans Serif" w:hAnsi="MS Reference Sans Serif"/>
        </w:rPr>
      </w:pPr>
      <w:r w:rsidRPr="00A5345D">
        <w:rPr>
          <w:rFonts w:ascii="MS Reference Sans Serif" w:hAnsi="MS Reference Sans Serif"/>
        </w:rPr>
        <w:t xml:space="preserve">›Promotes detoxification of certain </w:t>
      </w:r>
      <w:proofErr w:type="spellStart"/>
      <w:r w:rsidRPr="00A5345D">
        <w:rPr>
          <w:rFonts w:ascii="MS Reference Sans Serif" w:hAnsi="MS Reference Sans Serif"/>
        </w:rPr>
        <w:t>hepatotoxins</w:t>
      </w:r>
      <w:proofErr w:type="spellEnd"/>
    </w:p>
    <w:p w:rsidR="00222370" w:rsidRPr="00A5345D" w:rsidRDefault="00222370" w:rsidP="00A5345D">
      <w:pPr>
        <w:ind w:left="720" w:firstLine="720"/>
        <w:rPr>
          <w:rFonts w:ascii="MS Reference Sans Serif" w:hAnsi="MS Reference Sans Serif"/>
          <w:vertAlign w:val="superscript"/>
        </w:rPr>
      </w:pPr>
      <w:r w:rsidRPr="00A5345D">
        <w:rPr>
          <w:rFonts w:ascii="MS Reference Sans Serif" w:hAnsi="MS Reference Sans Serif"/>
        </w:rPr>
        <w:t xml:space="preserve">›Direct </w:t>
      </w:r>
      <w:proofErr w:type="spellStart"/>
      <w:r w:rsidRPr="00A5345D">
        <w:rPr>
          <w:rFonts w:ascii="MS Reference Sans Serif" w:hAnsi="MS Reference Sans Serif"/>
        </w:rPr>
        <w:t>antioxydant</w:t>
      </w:r>
      <w:proofErr w:type="spellEnd"/>
      <w:r w:rsidRPr="00A5345D">
        <w:rPr>
          <w:rFonts w:ascii="MS Reference Sans Serif" w:hAnsi="MS Reference Sans Serif"/>
        </w:rPr>
        <w:t xml:space="preserve"> (</w:t>
      </w:r>
      <w:proofErr w:type="spellStart"/>
      <w:r w:rsidRPr="00A5345D">
        <w:rPr>
          <w:rFonts w:ascii="MS Reference Sans Serif" w:hAnsi="MS Reference Sans Serif"/>
        </w:rPr>
        <w:t>HOCl</w:t>
      </w:r>
      <w:proofErr w:type="spellEnd"/>
      <w:r w:rsidRPr="00A5345D">
        <w:rPr>
          <w:rFonts w:ascii="MS Reference Sans Serif" w:hAnsi="MS Reference Sans Serif"/>
        </w:rPr>
        <w:t>, O</w:t>
      </w:r>
      <w:r w:rsidRPr="00A5345D">
        <w:rPr>
          <w:rFonts w:ascii="MS Reference Sans Serif" w:hAnsi="MS Reference Sans Serif"/>
          <w:vertAlign w:val="subscript"/>
        </w:rPr>
        <w:t>2</w:t>
      </w:r>
      <w:r w:rsidRPr="00A5345D">
        <w:rPr>
          <w:rFonts w:ascii="MS Reference Sans Serif" w:eastAsia="新細明體" w:hAnsi="新細明體" w:cs="新細明體"/>
          <w:vertAlign w:val="superscript"/>
        </w:rPr>
        <w:t>Ÿ</w:t>
      </w:r>
      <w:r w:rsidRPr="00A5345D">
        <w:rPr>
          <w:rFonts w:ascii="MS Reference Sans Serif" w:hAnsi="MS Reference Sans Serif"/>
          <w:vertAlign w:val="superscript"/>
        </w:rPr>
        <w:t>-</w:t>
      </w:r>
      <w:r w:rsidRPr="00A5345D">
        <w:rPr>
          <w:rFonts w:ascii="MS Reference Sans Serif" w:hAnsi="MS Reference Sans Serif"/>
        </w:rPr>
        <w:t>, H</w:t>
      </w:r>
      <w:r w:rsidRPr="00A5345D">
        <w:rPr>
          <w:rFonts w:ascii="MS Reference Sans Serif" w:hAnsi="MS Reference Sans Serif"/>
          <w:vertAlign w:val="subscript"/>
        </w:rPr>
        <w:t>2</w:t>
      </w:r>
      <w:r w:rsidRPr="00A5345D">
        <w:rPr>
          <w:rFonts w:ascii="MS Reference Sans Serif" w:hAnsi="MS Reference Sans Serif"/>
        </w:rPr>
        <w:t>O</w:t>
      </w:r>
      <w:r w:rsidRPr="00A5345D">
        <w:rPr>
          <w:rFonts w:ascii="MS Reference Sans Serif" w:hAnsi="MS Reference Sans Serif"/>
          <w:vertAlign w:val="subscript"/>
        </w:rPr>
        <w:t>2</w:t>
      </w:r>
      <w:r w:rsidRPr="00A5345D">
        <w:rPr>
          <w:rFonts w:ascii="MS Reference Sans Serif" w:hAnsi="MS Reference Sans Serif"/>
        </w:rPr>
        <w:t>)</w:t>
      </w:r>
    </w:p>
    <w:p w:rsidR="00222370" w:rsidRPr="00A5345D" w:rsidRDefault="00222370">
      <w:pPr>
        <w:rPr>
          <w:rFonts w:ascii="MS Reference Sans Serif" w:hAnsi="MS Reference Sans Serif"/>
        </w:rPr>
      </w:pPr>
    </w:p>
    <w:p w:rsidR="00222370" w:rsidRPr="00A5345D" w:rsidRDefault="00222370" w:rsidP="00A5345D">
      <w:pPr>
        <w:pStyle w:val="ListParagraph"/>
        <w:numPr>
          <w:ilvl w:val="0"/>
          <w:numId w:val="3"/>
        </w:numPr>
        <w:rPr>
          <w:rFonts w:ascii="MS Reference Sans Serif" w:hAnsi="MS Reference Sans Serif"/>
        </w:rPr>
      </w:pPr>
      <w:r w:rsidRPr="00A5345D">
        <w:rPr>
          <w:rFonts w:ascii="MS Reference Sans Serif" w:eastAsia="新細明體" w:hAnsi="新細明體" w:cs="新細明體"/>
        </w:rPr>
        <w:t></w:t>
      </w:r>
      <w:r w:rsidRPr="00A5345D">
        <w:rPr>
          <w:rFonts w:ascii="MS Reference Sans Serif" w:hAnsi="MS Reference Sans Serif"/>
        </w:rPr>
        <w:t>Medical applications</w:t>
      </w:r>
      <w:r w:rsidR="00532BAF">
        <w:rPr>
          <w:rFonts w:ascii="MS Reference Sans Serif" w:hAnsi="MS Reference Sans Serif"/>
        </w:rPr>
        <w:t>:</w:t>
      </w:r>
    </w:p>
    <w:p w:rsidR="00222370" w:rsidRPr="00A5345D" w:rsidRDefault="00222370" w:rsidP="00A5345D">
      <w:pPr>
        <w:ind w:left="720" w:firstLine="720"/>
        <w:rPr>
          <w:rFonts w:ascii="MS Reference Sans Serif" w:hAnsi="MS Reference Sans Serif"/>
        </w:rPr>
      </w:pPr>
      <w:r w:rsidRPr="00A5345D">
        <w:rPr>
          <w:rFonts w:ascii="MS Reference Sans Serif" w:hAnsi="MS Reference Sans Serif"/>
        </w:rPr>
        <w:t>›Enhance RBC GSH in hypoxic patients</w:t>
      </w:r>
    </w:p>
    <w:p w:rsidR="00222370" w:rsidRPr="00A5345D" w:rsidRDefault="00222370" w:rsidP="00A5345D">
      <w:pPr>
        <w:ind w:left="1440"/>
        <w:rPr>
          <w:rFonts w:ascii="MS Reference Sans Serif" w:hAnsi="MS Reference Sans Serif"/>
        </w:rPr>
      </w:pPr>
      <w:r w:rsidRPr="00A5345D">
        <w:rPr>
          <w:rFonts w:ascii="MS Reference Sans Serif" w:hAnsi="MS Reference Sans Serif"/>
        </w:rPr>
        <w:t xml:space="preserve">›Improve/ preserve </w:t>
      </w:r>
      <w:proofErr w:type="spellStart"/>
      <w:r w:rsidRPr="00A5345D">
        <w:rPr>
          <w:rFonts w:ascii="MS Reference Sans Serif" w:hAnsi="MS Reference Sans Serif"/>
        </w:rPr>
        <w:t>hepatocyte</w:t>
      </w:r>
      <w:proofErr w:type="spellEnd"/>
      <w:r w:rsidRPr="00A5345D">
        <w:rPr>
          <w:rFonts w:ascii="MS Reference Sans Serif" w:hAnsi="MS Reference Sans Serif"/>
        </w:rPr>
        <w:t xml:space="preserve"> membrane fluidity and </w:t>
      </w:r>
      <w:proofErr w:type="spellStart"/>
      <w:r w:rsidRPr="00A5345D">
        <w:rPr>
          <w:rFonts w:ascii="MS Reference Sans Serif" w:hAnsi="MS Reference Sans Serif"/>
        </w:rPr>
        <w:t>antioxydant</w:t>
      </w:r>
      <w:proofErr w:type="spellEnd"/>
      <w:r w:rsidRPr="00A5345D">
        <w:rPr>
          <w:rFonts w:ascii="MS Reference Sans Serif" w:hAnsi="MS Reference Sans Serif"/>
        </w:rPr>
        <w:t xml:space="preserve"> in </w:t>
      </w:r>
      <w:proofErr w:type="spellStart"/>
      <w:r w:rsidRPr="00A5345D">
        <w:rPr>
          <w:rFonts w:ascii="MS Reference Sans Serif" w:hAnsi="MS Reference Sans Serif"/>
        </w:rPr>
        <w:t>biliary</w:t>
      </w:r>
      <w:proofErr w:type="spellEnd"/>
      <w:r w:rsidRPr="00A5345D">
        <w:rPr>
          <w:rFonts w:ascii="MS Reference Sans Serif" w:hAnsi="MS Reference Sans Serif"/>
        </w:rPr>
        <w:t xml:space="preserve"> tree occlusion</w:t>
      </w:r>
    </w:p>
    <w:p w:rsidR="00222370" w:rsidRPr="00A5345D" w:rsidRDefault="00222370" w:rsidP="00A5345D">
      <w:pPr>
        <w:ind w:left="720" w:firstLine="720"/>
        <w:rPr>
          <w:rFonts w:ascii="MS Reference Sans Serif" w:hAnsi="MS Reference Sans Serif"/>
        </w:rPr>
      </w:pPr>
      <w:r w:rsidRPr="00A5345D">
        <w:rPr>
          <w:rFonts w:ascii="MS Reference Sans Serif" w:hAnsi="MS Reference Sans Serif"/>
        </w:rPr>
        <w:t>›Enhance hepatic detoxification of toxins</w:t>
      </w:r>
    </w:p>
    <w:p w:rsidR="00222370" w:rsidRPr="00A5345D" w:rsidRDefault="00222370" w:rsidP="00A5345D">
      <w:pPr>
        <w:ind w:left="720" w:firstLine="720"/>
        <w:rPr>
          <w:rFonts w:ascii="MS Reference Sans Serif" w:hAnsi="MS Reference Sans Serif"/>
        </w:rPr>
      </w:pPr>
      <w:r w:rsidRPr="00A5345D">
        <w:rPr>
          <w:rFonts w:ascii="MS Reference Sans Serif" w:hAnsi="MS Reference Sans Serif"/>
        </w:rPr>
        <w:t>›Augments NADP and GSH reduction and reductive detoxification of xenobiotics</w:t>
      </w:r>
    </w:p>
    <w:p w:rsidR="00532BAF" w:rsidRDefault="00222370" w:rsidP="00A5345D">
      <w:pPr>
        <w:ind w:left="720" w:firstLine="720"/>
        <w:rPr>
          <w:rFonts w:ascii="MS Reference Sans Serif" w:hAnsi="MS Reference Sans Serif"/>
        </w:rPr>
      </w:pPr>
      <w:r w:rsidRPr="00A5345D">
        <w:rPr>
          <w:rFonts w:ascii="MS Reference Sans Serif" w:hAnsi="MS Reference Sans Serif"/>
        </w:rPr>
        <w:t>›Protective effect in Ischemia reperfusion injury</w:t>
      </w:r>
    </w:p>
    <w:p w:rsidR="00222370" w:rsidRPr="00A5345D" w:rsidRDefault="00222370" w:rsidP="00A5345D">
      <w:pPr>
        <w:ind w:left="720" w:firstLine="720"/>
        <w:rPr>
          <w:rFonts w:ascii="MS Reference Sans Serif" w:hAnsi="MS Reference Sans Serif"/>
        </w:rPr>
      </w:pPr>
    </w:p>
    <w:p w:rsidR="00222370" w:rsidRPr="00A5345D" w:rsidRDefault="00222370" w:rsidP="00222370">
      <w:pPr>
        <w:pStyle w:val="ListParagraph"/>
        <w:numPr>
          <w:ilvl w:val="0"/>
          <w:numId w:val="3"/>
        </w:numPr>
        <w:rPr>
          <w:rFonts w:ascii="MS Reference Sans Serif" w:hAnsi="MS Reference Sans Serif"/>
        </w:rPr>
      </w:pPr>
      <w:r w:rsidRPr="00A5345D">
        <w:rPr>
          <w:rFonts w:ascii="MS Reference Sans Serif" w:eastAsia="新細明體" w:hAnsi="新細明體" w:cs="新細明體"/>
        </w:rPr>
        <w:t></w:t>
      </w:r>
      <w:r w:rsidR="00A5345D">
        <w:rPr>
          <w:rFonts w:ascii="MS Reference Sans Serif" w:eastAsia="新細明體" w:hAnsi="新細明體" w:cs="新細明體"/>
        </w:rPr>
        <w:t>Indication</w:t>
      </w:r>
      <w:r w:rsidR="00532BAF">
        <w:rPr>
          <w:rFonts w:ascii="MS Reference Sans Serif" w:eastAsia="新細明體" w:hAnsi="新細明體" w:cs="新細明體"/>
        </w:rPr>
        <w:t>s</w:t>
      </w:r>
      <w:r w:rsidR="00A5345D">
        <w:rPr>
          <w:rFonts w:ascii="MS Reference Sans Serif" w:eastAsia="新細明體" w:hAnsi="新細明體" w:cs="新細明體"/>
        </w:rPr>
        <w:t>: -</w:t>
      </w:r>
      <w:r w:rsidRPr="00A5345D">
        <w:rPr>
          <w:rFonts w:ascii="MS Reference Sans Serif" w:hAnsi="MS Reference Sans Serif"/>
        </w:rPr>
        <w:t>Acetaminophen</w:t>
      </w:r>
    </w:p>
    <w:p w:rsidR="00A5345D" w:rsidRDefault="00222370" w:rsidP="00A5345D">
      <w:pPr>
        <w:ind w:left="2160" w:firstLine="720"/>
        <w:rPr>
          <w:rFonts w:ascii="MS Reference Sans Serif" w:hAnsi="MS Reference Sans Serif"/>
        </w:rPr>
      </w:pPr>
      <w:r w:rsidRPr="00A5345D">
        <w:rPr>
          <w:rFonts w:ascii="MS Reference Sans Serif" w:hAnsi="MS Reference Sans Serif"/>
        </w:rPr>
        <w:t>Heavy metals</w:t>
      </w:r>
    </w:p>
    <w:p w:rsidR="00A5345D" w:rsidRDefault="00A5345D" w:rsidP="00A5345D">
      <w:pPr>
        <w:ind w:left="2160" w:firstLine="720"/>
        <w:rPr>
          <w:rFonts w:ascii="MS Reference Sans Serif" w:hAnsi="MS Reference Sans Serif"/>
        </w:rPr>
      </w:pPr>
      <w:r>
        <w:rPr>
          <w:rFonts w:ascii="MS Reference Sans Serif" w:hAnsi="MS Reference Sans Serif"/>
        </w:rPr>
        <w:t>Acute liver injury/ hepatitis</w:t>
      </w:r>
    </w:p>
    <w:p w:rsidR="00222370" w:rsidRPr="00A5345D" w:rsidRDefault="00222370" w:rsidP="00A5345D">
      <w:pPr>
        <w:ind w:left="2160" w:firstLine="720"/>
        <w:rPr>
          <w:rFonts w:ascii="MS Reference Sans Serif" w:hAnsi="MS Reference Sans Serif"/>
        </w:rPr>
      </w:pPr>
    </w:p>
    <w:p w:rsidR="00A5345D" w:rsidRDefault="00222370" w:rsidP="00222370">
      <w:pPr>
        <w:pStyle w:val="ListParagraph"/>
        <w:numPr>
          <w:ilvl w:val="0"/>
          <w:numId w:val="3"/>
        </w:numPr>
        <w:rPr>
          <w:rFonts w:ascii="MS Reference Sans Serif" w:hAnsi="MS Reference Sans Serif"/>
        </w:rPr>
      </w:pPr>
      <w:r w:rsidRPr="00A5345D">
        <w:rPr>
          <w:rFonts w:ascii="MS Reference Sans Serif" w:eastAsia="新細明體" w:hAnsi="新細明體" w:cs="新細明體"/>
        </w:rPr>
        <w:t></w:t>
      </w:r>
      <w:r w:rsidR="00532BAF">
        <w:rPr>
          <w:rFonts w:ascii="MS Reference Sans Serif" w:eastAsia="新細明體" w:hAnsi="新細明體" w:cs="新細明體"/>
        </w:rPr>
        <w:t>Dose and a</w:t>
      </w:r>
      <w:r w:rsidR="00A5345D">
        <w:rPr>
          <w:rFonts w:ascii="MS Reference Sans Serif" w:eastAsia="新細明體" w:hAnsi="新細明體" w:cs="新細明體"/>
        </w:rPr>
        <w:t>dministration:</w:t>
      </w:r>
      <w:r w:rsidR="00A5345D" w:rsidRPr="00A5345D">
        <w:rPr>
          <w:rFonts w:ascii="MS Reference Sans Serif" w:hAnsi="MS Reference Sans Serif"/>
        </w:rPr>
        <w:t xml:space="preserve"> 140 mg/kg followed by 70 mg/kg q 8 hrs </w:t>
      </w:r>
      <w:r w:rsidR="00A5345D">
        <w:rPr>
          <w:rFonts w:ascii="MS Reference Sans Serif" w:hAnsi="MS Reference Sans Serif"/>
        </w:rPr>
        <w:t xml:space="preserve">IV w </w:t>
      </w:r>
      <w:r w:rsidRPr="00A5345D">
        <w:rPr>
          <w:rFonts w:ascii="MS Reference Sans Serif" w:hAnsi="MS Reference Sans Serif"/>
        </w:rPr>
        <w:t>Non-</w:t>
      </w:r>
      <w:proofErr w:type="spellStart"/>
      <w:r w:rsidRPr="00A5345D">
        <w:rPr>
          <w:rFonts w:ascii="MS Reference Sans Serif" w:hAnsi="MS Reference Sans Serif"/>
        </w:rPr>
        <w:t>pyrogenic</w:t>
      </w:r>
      <w:proofErr w:type="spellEnd"/>
      <w:r w:rsidRPr="00A5345D">
        <w:rPr>
          <w:rFonts w:ascii="MS Reference Sans Serif" w:hAnsi="MS Reference Sans Serif"/>
        </w:rPr>
        <w:t xml:space="preserve"> filter (0.25μm)</w:t>
      </w:r>
      <w:r w:rsidR="00A5345D">
        <w:rPr>
          <w:rFonts w:ascii="MS Reference Sans Serif" w:hAnsi="MS Reference Sans Serif"/>
        </w:rPr>
        <w:t xml:space="preserve"> </w:t>
      </w:r>
      <w:r w:rsidRPr="00A5345D">
        <w:rPr>
          <w:rFonts w:ascii="MS Reference Sans Serif" w:hAnsi="MS Reference Sans Serif"/>
        </w:rPr>
        <w:t>10% solution diluted 1:2 w saline</w:t>
      </w:r>
      <w:r w:rsidR="00A5345D">
        <w:rPr>
          <w:rFonts w:ascii="MS Reference Sans Serif" w:hAnsi="MS Reference Sans Serif"/>
        </w:rPr>
        <w:t xml:space="preserve">. </w:t>
      </w:r>
      <w:r w:rsidRPr="00A5345D">
        <w:rPr>
          <w:rFonts w:ascii="MS Reference Sans Serif" w:hAnsi="MS Reference Sans Serif"/>
        </w:rPr>
        <w:t>Administer over 20-30 min</w:t>
      </w:r>
    </w:p>
    <w:p w:rsidR="00A5345D" w:rsidRDefault="00A5345D" w:rsidP="00A5345D">
      <w:pPr>
        <w:rPr>
          <w:rFonts w:ascii="MS Reference Sans Serif" w:hAnsi="MS Reference Sans Serif"/>
        </w:rPr>
      </w:pPr>
    </w:p>
    <w:p w:rsidR="00A5345D" w:rsidRDefault="00A5345D" w:rsidP="00A5345D">
      <w:pPr>
        <w:rPr>
          <w:rFonts w:ascii="MS Reference Sans Serif" w:hAnsi="MS Reference Sans Serif"/>
        </w:rPr>
      </w:pPr>
    </w:p>
    <w:p w:rsidR="00A5345D" w:rsidRPr="00A5345D" w:rsidRDefault="00A5345D" w:rsidP="00A5345D">
      <w:pPr>
        <w:rPr>
          <w:rFonts w:ascii="MS Reference Sans Serif" w:hAnsi="MS Reference Sans Serif"/>
        </w:rPr>
      </w:pPr>
    </w:p>
    <w:p w:rsidR="00A5345D" w:rsidRPr="00A5345D" w:rsidRDefault="00A5345D" w:rsidP="00A5345D">
      <w:pPr>
        <w:rPr>
          <w:rFonts w:ascii="MS Reference Sans Serif" w:hAnsi="MS Reference Sans Serif"/>
          <w:b/>
          <w:u w:val="single"/>
        </w:rPr>
      </w:pPr>
      <w:r w:rsidRPr="00A5345D">
        <w:rPr>
          <w:rFonts w:ascii="MS Reference Sans Serif" w:hAnsi="MS Reference Sans Serif"/>
          <w:b/>
          <w:u w:val="single"/>
        </w:rPr>
        <w:t>SAME:</w:t>
      </w:r>
    </w:p>
    <w:p w:rsidR="00222370" w:rsidRPr="00A5345D" w:rsidRDefault="00222370" w:rsidP="00A5345D">
      <w:pPr>
        <w:rPr>
          <w:rFonts w:ascii="MS Reference Sans Serif" w:hAnsi="MS Reference Sans Serif"/>
        </w:rPr>
      </w:pPr>
    </w:p>
    <w:p w:rsidR="00222370" w:rsidRPr="00A5345D" w:rsidRDefault="00222370" w:rsidP="00222370">
      <w:pPr>
        <w:rPr>
          <w:rFonts w:ascii="MS Reference Sans Serif" w:hAnsi="MS Reference Sans Serif"/>
        </w:rPr>
      </w:pPr>
    </w:p>
    <w:p w:rsidR="00222370" w:rsidRPr="00A5345D" w:rsidRDefault="00222370" w:rsidP="00222370">
      <w:pPr>
        <w:rPr>
          <w:rFonts w:ascii="MS Reference Sans Serif" w:hAnsi="MS Reference Sans Serif"/>
        </w:rPr>
      </w:pPr>
    </w:p>
    <w:p w:rsidR="00222370" w:rsidRPr="00A5345D" w:rsidRDefault="00222370" w:rsidP="00222370">
      <w:pPr>
        <w:rPr>
          <w:rFonts w:ascii="MS Reference Sans Serif" w:hAnsi="MS Reference Sans Serif"/>
        </w:rPr>
      </w:pPr>
    </w:p>
    <w:p w:rsidR="00222370" w:rsidRPr="00A5345D" w:rsidRDefault="00A5345D" w:rsidP="00222370">
      <w:pPr>
        <w:rPr>
          <w:rFonts w:ascii="MS Reference Sans Serif" w:hAnsi="MS Reference Sans Serif"/>
        </w:rPr>
      </w:pPr>
      <w:r w:rsidRPr="00A5345D">
        <w:rPr>
          <w:rFonts w:ascii="MS Reference Sans Serif" w:hAnsi="MS Reference Sans Serif"/>
          <w:noProof/>
          <w:lang w:bidi="ar-SA"/>
        </w:rPr>
        <w:drawing>
          <wp:inline distT="0" distB="0" distL="0" distR="0">
            <wp:extent cx="5486400" cy="3720465"/>
            <wp:effectExtent l="25400" t="0" r="0" b="0"/>
            <wp:docPr id="2" name="O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597576" cy="6508512"/>
                      <a:chOff x="-1" y="267494"/>
                      <a:chExt cx="9597576" cy="6508512"/>
                    </a:xfrm>
                  </a:grpSpPr>
                  <a:sp>
                    <a:nvSpPr>
                      <a:cNvPr id="2" name="Title 1"/>
                      <a:cNvSpPr>
                        <a:spLocks noGrp="1"/>
                      </a:cNvSpPr>
                    </a:nvSpPr>
                    <a:spPr>
                      <a:xfrm>
                        <a:off x="457200" y="267494"/>
                        <a:ext cx="8229600" cy="1399032"/>
                      </a:xfrm>
                      <a:prstGeom prst="rect">
                        <a:avLst/>
                      </a:prstGeom>
                    </a:spPr>
                    <a:txSp>
                      <a:txBody>
                        <a:bodyPr vert="horz" anchor="ctr">
                          <a:normAutofit/>
                        </a:bodyPr>
                        <a:lstStyle>
                          <a:lvl1pPr marL="484632" algn="l" rtl="0" eaLnBrk="1" latinLnBrk="0" hangingPunct="1">
                            <a:spcBef>
                              <a:spcPct val="0"/>
                            </a:spcBef>
                            <a:buNone/>
                            <a:defRPr kumimoji="0" sz="4200" b="0" kern="1200">
                              <a:ln w="6350">
                                <a:solidFill>
                                  <a:schemeClr val="accent1">
                                    <a:shade val="43000"/>
                                  </a:schemeClr>
                                </a:solidFill>
                              </a:ln>
                              <a:solidFill>
                                <a:schemeClr val="accent1">
                                  <a:tint val="83000"/>
                                  <a:satMod val="150000"/>
                                </a:schemeClr>
                              </a:solidFill>
                              <a:effectLst>
                                <a:outerShdw blurRad="26000" dist="26000" dir="14500000" algn="tl" rotWithShape="0">
                                  <a:srgbClr val="000000">
                                    <a:alpha val="40000"/>
                                  </a:srgbClr>
                                </a:outerShdw>
                              </a:effectLst>
                              <a:latin typeface="+mj-lt"/>
                              <a:ea typeface="+mj-ea"/>
                              <a:cs typeface="+mj-cs"/>
                            </a:defRPr>
                          </a:lvl1pPr>
                        </a:lstStyle>
                        <a:p>
                          <a:r>
                            <a:rPr lang="en-US" dirty="0" smtClean="0"/>
                            <a:t>S-</a:t>
                          </a:r>
                          <a:r>
                            <a:rPr lang="en-US" dirty="0" err="1" smtClean="0"/>
                            <a:t>Adenosylmethionine</a:t>
                          </a:r>
                          <a:endParaRPr lang="en-US" dirty="0"/>
                        </a:p>
                      </a:txBody>
                      <a:useSpRect/>
                    </a:txSp>
                  </a:sp>
                  <a:sp>
                    <a:nvSpPr>
                      <a:cNvPr id="6" name="TextBox 5"/>
                      <a:cNvSpPr txBox="1"/>
                    </a:nvSpPr>
                    <a:spPr>
                      <a:xfrm>
                        <a:off x="3991435" y="2286000"/>
                        <a:ext cx="2630714" cy="369332"/>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err="1" smtClean="0"/>
                            <a:t>Methionine</a:t>
                          </a:r>
                          <a:endParaRPr lang="en-US" dirty="0"/>
                        </a:p>
                      </a:txBody>
                      <a:useSpRect/>
                    </a:txSp>
                  </a:sp>
                  <a:sp>
                    <a:nvSpPr>
                      <a:cNvPr id="7" name="TextBox 6"/>
                      <a:cNvSpPr txBox="1"/>
                    </a:nvSpPr>
                    <a:spPr>
                      <a:xfrm>
                        <a:off x="2830291" y="1575811"/>
                        <a:ext cx="1560287" cy="369332"/>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smtClean="0"/>
                            <a:t>Diet</a:t>
                          </a:r>
                          <a:endParaRPr lang="en-US" dirty="0"/>
                        </a:p>
                      </a:txBody>
                      <a:useSpRect/>
                    </a:txSp>
                  </a:sp>
                  <a:sp>
                    <a:nvSpPr>
                      <a:cNvPr id="8" name="TextBox 7"/>
                      <a:cNvSpPr txBox="1"/>
                    </a:nvSpPr>
                    <a:spPr>
                      <a:xfrm>
                        <a:off x="2957287" y="3537857"/>
                        <a:ext cx="3810000" cy="369332"/>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err="1" smtClean="0"/>
                            <a:t>SAMe</a:t>
                          </a:r>
                          <a:r>
                            <a:rPr lang="en-US" dirty="0" smtClean="0"/>
                            <a:t> S-</a:t>
                          </a:r>
                          <a:r>
                            <a:rPr lang="en-US" dirty="0" err="1" smtClean="0"/>
                            <a:t>adenosylmethionine</a:t>
                          </a:r>
                          <a:endParaRPr lang="en-US" dirty="0"/>
                        </a:p>
                      </a:txBody>
                      <a:useSpRect/>
                    </a:txSp>
                  </a:sp>
                  <a:sp>
                    <a:nvSpPr>
                      <a:cNvPr id="9" name="TextBox 8"/>
                      <a:cNvSpPr txBox="1"/>
                    </a:nvSpPr>
                    <a:spPr>
                      <a:xfrm>
                        <a:off x="4719534" y="2772620"/>
                        <a:ext cx="2195286" cy="369332"/>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smtClean="0"/>
                            <a:t>MAT 1 + ATP</a:t>
                          </a:r>
                          <a:endParaRPr lang="en-US" dirty="0"/>
                        </a:p>
                      </a:txBody>
                      <a:useSpRect/>
                    </a:txSp>
                  </a:sp>
                  <a:sp>
                    <a:nvSpPr>
                      <a:cNvPr id="10" name="TextBox 9"/>
                      <a:cNvSpPr txBox="1"/>
                    </a:nvSpPr>
                    <a:spPr>
                      <a:xfrm>
                        <a:off x="4118436" y="4317998"/>
                        <a:ext cx="3029857" cy="369332"/>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err="1" smtClean="0"/>
                            <a:t>Cysteine</a:t>
                          </a:r>
                          <a:endParaRPr lang="en-US" dirty="0"/>
                        </a:p>
                      </a:txBody>
                      <a:useSpRect/>
                    </a:txSp>
                  </a:sp>
                  <a:sp>
                    <a:nvSpPr>
                      <a:cNvPr id="11" name="TextBox 10"/>
                      <a:cNvSpPr txBox="1"/>
                    </a:nvSpPr>
                    <a:spPr>
                      <a:xfrm>
                        <a:off x="3937015" y="4750189"/>
                        <a:ext cx="5207000" cy="369332"/>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smtClean="0"/>
                            <a:t>TRANSSULFURATION</a:t>
                          </a:r>
                          <a:endParaRPr lang="en-US" dirty="0"/>
                        </a:p>
                      </a:txBody>
                      <a:useSpRect/>
                    </a:txSp>
                  </a:sp>
                  <a:sp>
                    <a:nvSpPr>
                      <a:cNvPr id="12" name="TextBox 11"/>
                      <a:cNvSpPr txBox="1"/>
                    </a:nvSpPr>
                    <a:spPr>
                      <a:xfrm>
                        <a:off x="3991444" y="5221567"/>
                        <a:ext cx="2630714" cy="369332"/>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i="1" dirty="0" smtClean="0"/>
                            <a:t>DETOXIFICATION</a:t>
                          </a:r>
                          <a:endParaRPr lang="en-US" i="1" dirty="0"/>
                        </a:p>
                      </a:txBody>
                      <a:useSpRect/>
                    </a:txSp>
                  </a:sp>
                  <a:sp>
                    <a:nvSpPr>
                      <a:cNvPr id="13" name="TextBox 12"/>
                      <a:cNvSpPr txBox="1"/>
                    </a:nvSpPr>
                    <a:spPr>
                      <a:xfrm>
                        <a:off x="2938358" y="6005283"/>
                        <a:ext cx="1959429" cy="369332"/>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smtClean="0"/>
                            <a:t>GLUTATHIONE</a:t>
                          </a:r>
                          <a:endParaRPr lang="en-US" dirty="0"/>
                        </a:p>
                      </a:txBody>
                      <a:useSpRect/>
                    </a:txSp>
                  </a:sp>
                  <a:sp>
                    <a:nvSpPr>
                      <a:cNvPr id="14" name="TextBox 13"/>
                      <a:cNvSpPr txBox="1"/>
                    </a:nvSpPr>
                    <a:spPr>
                      <a:xfrm>
                        <a:off x="4517579" y="6005283"/>
                        <a:ext cx="2286000" cy="369332"/>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smtClean="0"/>
                            <a:t>TAURINE</a:t>
                          </a:r>
                          <a:endParaRPr lang="en-US" dirty="0"/>
                        </a:p>
                      </a:txBody>
                      <a:useSpRect/>
                    </a:txSp>
                  </a:sp>
                  <a:sp>
                    <a:nvSpPr>
                      <a:cNvPr id="15" name="TextBox 14"/>
                      <a:cNvSpPr txBox="1"/>
                    </a:nvSpPr>
                    <a:spPr>
                      <a:xfrm>
                        <a:off x="5569855" y="6005283"/>
                        <a:ext cx="2231572" cy="369332"/>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smtClean="0"/>
                            <a:t>SULPHATES</a:t>
                          </a:r>
                          <a:endParaRPr lang="en-US" dirty="0"/>
                        </a:p>
                      </a:txBody>
                      <a:useSpRect/>
                    </a:txSp>
                  </a:sp>
                  <a:sp>
                    <a:nvSpPr>
                      <a:cNvPr id="16" name="TextBox 15"/>
                      <a:cNvSpPr txBox="1"/>
                    </a:nvSpPr>
                    <a:spPr>
                      <a:xfrm>
                        <a:off x="7384146" y="3537857"/>
                        <a:ext cx="2213429" cy="369332"/>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smtClean="0"/>
                            <a:t>METHYLATION</a:t>
                          </a:r>
                          <a:endParaRPr lang="en-US" dirty="0"/>
                        </a:p>
                      </a:txBody>
                      <a:useSpRect/>
                    </a:txSp>
                  </a:sp>
                  <a:sp>
                    <a:nvSpPr>
                      <a:cNvPr id="17" name="TextBox 16"/>
                      <a:cNvSpPr txBox="1"/>
                    </a:nvSpPr>
                    <a:spPr>
                      <a:xfrm>
                        <a:off x="0" y="3326618"/>
                        <a:ext cx="2013857" cy="646331"/>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smtClean="0"/>
                            <a:t>AMINOPROPYLATION</a:t>
                          </a:r>
                          <a:endParaRPr lang="en-US" dirty="0"/>
                        </a:p>
                      </a:txBody>
                      <a:useSpRect/>
                    </a:txSp>
                  </a:sp>
                  <a:sp>
                    <a:nvSpPr>
                      <a:cNvPr id="18" name="TextBox 17"/>
                      <a:cNvSpPr txBox="1"/>
                    </a:nvSpPr>
                    <a:spPr>
                      <a:xfrm>
                        <a:off x="-1" y="4372427"/>
                        <a:ext cx="2013857" cy="369332"/>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smtClean="0"/>
                            <a:t>POLYAMINES</a:t>
                          </a:r>
                          <a:endParaRPr lang="en-US" dirty="0"/>
                        </a:p>
                      </a:txBody>
                      <a:useSpRect/>
                    </a:txSp>
                  </a:sp>
                  <a:sp>
                    <a:nvSpPr>
                      <a:cNvPr id="19" name="Rectangle 18"/>
                      <a:cNvSpPr/>
                    </a:nvSpPr>
                    <a:spPr>
                      <a:xfrm>
                        <a:off x="2921004" y="3537857"/>
                        <a:ext cx="3429000" cy="435092"/>
                      </a:xfrm>
                      <a:prstGeom prst="rect">
                        <a:avLst/>
                      </a:prstGeom>
                      <a:noFill/>
                      <a:ln>
                        <a:solidFill>
                          <a:schemeClr val="accent1"/>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1">
                        <a:schemeClr val="accent1"/>
                      </a:lnRef>
                      <a:fillRef idx="3">
                        <a:schemeClr val="accent1"/>
                      </a:fillRef>
                      <a:effectRef idx="2">
                        <a:schemeClr val="accent1"/>
                      </a:effectRef>
                      <a:fontRef idx="minor">
                        <a:schemeClr val="lt1"/>
                      </a:fontRef>
                    </a:style>
                  </a:sp>
                  <a:cxnSp>
                    <a:nvCxnSpPr>
                      <a:cNvPr id="21" name="Straight Arrow Connector 20"/>
                      <a:cNvCxnSpPr/>
                    </a:nvCxnSpPr>
                    <a:spPr>
                      <a:xfrm rot="5400000">
                        <a:off x="4308935" y="2990975"/>
                        <a:ext cx="671286" cy="1588"/>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22" name="Straight Arrow Connector 21"/>
                      <a:cNvCxnSpPr/>
                    </a:nvCxnSpPr>
                    <a:spPr>
                      <a:xfrm rot="5400000">
                        <a:off x="4459409" y="4257446"/>
                        <a:ext cx="335643" cy="3177"/>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25" name="Straight Arrow Connector 24"/>
                      <a:cNvCxnSpPr>
                        <a:endCxn id="6" idx="1"/>
                      </a:cNvCxnSpPr>
                    </a:nvCxnSpPr>
                    <a:spPr>
                      <a:xfrm>
                        <a:off x="3193149" y="1851192"/>
                        <a:ext cx="798286" cy="619474"/>
                      </a:xfrm>
                      <a:prstGeom prst="straightConnector1">
                        <a:avLst/>
                      </a:prstGeom>
                      <a:ln w="25400" cap="flat" cmpd="sng" algn="ctr">
                        <a:solidFill>
                          <a:schemeClr val="accent1"/>
                        </a:solidFill>
                        <a:prstDash val="dot"/>
                        <a:round/>
                        <a:headEnd type="none" w="med" len="med"/>
                        <a:tailEnd type="arrow" w="med" len="med"/>
                      </a:ln>
                    </a:spPr>
                    <a:style>
                      <a:lnRef idx="2">
                        <a:schemeClr val="accent1"/>
                      </a:lnRef>
                      <a:fillRef idx="0">
                        <a:schemeClr val="accent1"/>
                      </a:fillRef>
                      <a:effectRef idx="1">
                        <a:schemeClr val="accent1"/>
                      </a:effectRef>
                      <a:fontRef idx="minor">
                        <a:schemeClr val="tx1"/>
                      </a:fontRef>
                    </a:style>
                  </a:cxnSp>
                  <a:sp>
                    <a:nvSpPr>
                      <a:cNvPr id="29" name="Rectangle 28"/>
                      <a:cNvSpPr/>
                    </a:nvSpPr>
                    <a:spPr>
                      <a:xfrm>
                        <a:off x="3863635" y="4750189"/>
                        <a:ext cx="2486369" cy="398806"/>
                      </a:xfrm>
                      <a:prstGeom prst="rect">
                        <a:avLst/>
                      </a:prstGeom>
                      <a:noFill/>
                      <a:ln>
                        <a:solidFill>
                          <a:srgbClr val="000090"/>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1">
                        <a:schemeClr val="accent1"/>
                      </a:lnRef>
                      <a:fillRef idx="3">
                        <a:schemeClr val="accent1"/>
                      </a:fillRef>
                      <a:effectRef idx="2">
                        <a:schemeClr val="accent1"/>
                      </a:effectRef>
                      <a:fontRef idx="minor">
                        <a:schemeClr val="lt1"/>
                      </a:fontRef>
                    </a:style>
                  </a:sp>
                  <a:cxnSp>
                    <a:nvCxnSpPr>
                      <a:cNvPr id="30" name="Straight Arrow Connector 29"/>
                      <a:cNvCxnSpPr/>
                    </a:nvCxnSpPr>
                    <a:spPr>
                      <a:xfrm rot="5400000">
                        <a:off x="3654998" y="5615507"/>
                        <a:ext cx="671286" cy="1588"/>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31" name="Straight Arrow Connector 30"/>
                      <a:cNvCxnSpPr/>
                    </a:nvCxnSpPr>
                    <a:spPr>
                      <a:xfrm rot="5400000">
                        <a:off x="4765005" y="5778109"/>
                        <a:ext cx="342902" cy="4767"/>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32" name="Straight Arrow Connector 31"/>
                      <a:cNvCxnSpPr/>
                    </a:nvCxnSpPr>
                    <a:spPr>
                      <a:xfrm rot="5400000">
                        <a:off x="5814003" y="5615504"/>
                        <a:ext cx="671286" cy="1588"/>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sp>
                    <a:nvSpPr>
                      <a:cNvPr id="34" name="Rectangle 33"/>
                      <a:cNvSpPr/>
                    </a:nvSpPr>
                    <a:spPr>
                      <a:xfrm>
                        <a:off x="7365994" y="3537857"/>
                        <a:ext cx="1774381" cy="435092"/>
                      </a:xfrm>
                      <a:prstGeom prst="rect">
                        <a:avLst/>
                      </a:prstGeom>
                      <a:noFill/>
                      <a:ln>
                        <a:solidFill>
                          <a:srgbClr val="000090"/>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1">
                        <a:schemeClr val="accent1"/>
                      </a:lnRef>
                      <a:fillRef idx="3">
                        <a:schemeClr val="accent1"/>
                      </a:fillRef>
                      <a:effectRef idx="2">
                        <a:schemeClr val="accent1"/>
                      </a:effectRef>
                      <a:fontRef idx="minor">
                        <a:schemeClr val="lt1"/>
                      </a:fontRef>
                    </a:style>
                  </a:sp>
                  <a:sp>
                    <a:nvSpPr>
                      <a:cNvPr id="35" name="Rectangle 34"/>
                      <a:cNvSpPr/>
                    </a:nvSpPr>
                    <a:spPr>
                      <a:xfrm>
                        <a:off x="58045" y="3327412"/>
                        <a:ext cx="1955812" cy="645537"/>
                      </a:xfrm>
                      <a:prstGeom prst="rect">
                        <a:avLst/>
                      </a:prstGeom>
                      <a:noFill/>
                      <a:ln>
                        <a:solidFill>
                          <a:srgbClr val="000090"/>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1">
                        <a:schemeClr val="accent1"/>
                      </a:lnRef>
                      <a:fillRef idx="3">
                        <a:schemeClr val="accent1"/>
                      </a:fillRef>
                      <a:effectRef idx="2">
                        <a:schemeClr val="accent1"/>
                      </a:effectRef>
                      <a:fontRef idx="minor">
                        <a:schemeClr val="lt1"/>
                      </a:fontRef>
                    </a:style>
                  </a:sp>
                  <a:cxnSp>
                    <a:nvCxnSpPr>
                      <a:cNvPr id="37" name="Straight Arrow Connector 36"/>
                      <a:cNvCxnSpPr/>
                    </a:nvCxnSpPr>
                    <a:spPr>
                      <a:xfrm>
                        <a:off x="6388673" y="3780188"/>
                        <a:ext cx="850320" cy="1588"/>
                      </a:xfrm>
                      <a:prstGeom prst="straightConnector1">
                        <a:avLst/>
                      </a:prstGeom>
                      <a:ln>
                        <a:solidFill>
                          <a:srgbClr val="000090"/>
                        </a:solidFill>
                        <a:tailEnd type="arrow"/>
                      </a:ln>
                    </a:spPr>
                    <a:style>
                      <a:lnRef idx="2">
                        <a:schemeClr val="accent1"/>
                      </a:lnRef>
                      <a:fillRef idx="0">
                        <a:schemeClr val="accent1"/>
                      </a:fillRef>
                      <a:effectRef idx="1">
                        <a:schemeClr val="accent1"/>
                      </a:effectRef>
                      <a:fontRef idx="minor">
                        <a:schemeClr val="tx1"/>
                      </a:fontRef>
                    </a:style>
                  </a:cxnSp>
                  <a:cxnSp>
                    <a:nvCxnSpPr>
                      <a:cNvPr id="39" name="Straight Arrow Connector 38"/>
                      <a:cNvCxnSpPr/>
                    </a:nvCxnSpPr>
                    <a:spPr>
                      <a:xfrm rot="10800000">
                        <a:off x="2013858" y="3740896"/>
                        <a:ext cx="362857" cy="1588"/>
                      </a:xfrm>
                      <a:prstGeom prst="straightConnector1">
                        <a:avLst/>
                      </a:prstGeom>
                      <a:ln>
                        <a:solidFill>
                          <a:srgbClr val="000090"/>
                        </a:solidFill>
                        <a:tailEnd type="arrow"/>
                      </a:ln>
                    </a:spPr>
                    <a:style>
                      <a:lnRef idx="2">
                        <a:schemeClr val="accent1"/>
                      </a:lnRef>
                      <a:fillRef idx="0">
                        <a:schemeClr val="accent1"/>
                      </a:fillRef>
                      <a:effectRef idx="1">
                        <a:schemeClr val="accent1"/>
                      </a:effectRef>
                      <a:fontRef idx="minor">
                        <a:schemeClr val="tx1"/>
                      </a:fontRef>
                    </a:style>
                  </a:cxnSp>
                  <a:cxnSp>
                    <a:nvCxnSpPr>
                      <a:cNvPr id="42" name="Straight Arrow Connector 41"/>
                      <a:cNvCxnSpPr/>
                    </a:nvCxnSpPr>
                    <a:spPr>
                      <a:xfrm rot="5400000">
                        <a:off x="576036" y="4277177"/>
                        <a:ext cx="335643" cy="1588"/>
                      </a:xfrm>
                      <a:prstGeom prst="straightConnector1">
                        <a:avLst/>
                      </a:prstGeom>
                      <a:ln>
                        <a:solidFill>
                          <a:schemeClr val="tx1"/>
                        </a:solidFill>
                        <a:tailEnd type="arrow"/>
                      </a:ln>
                    </a:spPr>
                    <a:style>
                      <a:lnRef idx="2">
                        <a:schemeClr val="accent1"/>
                      </a:lnRef>
                      <a:fillRef idx="0">
                        <a:schemeClr val="accent1"/>
                      </a:fillRef>
                      <a:effectRef idx="1">
                        <a:schemeClr val="accent1"/>
                      </a:effectRef>
                      <a:fontRef idx="minor">
                        <a:schemeClr val="tx1"/>
                      </a:fontRef>
                    </a:style>
                  </a:cxnSp>
                  <a:sp>
                    <a:nvSpPr>
                      <a:cNvPr id="43" name="TextBox 42"/>
                      <a:cNvSpPr txBox="1"/>
                    </a:nvSpPr>
                    <a:spPr>
                      <a:xfrm>
                        <a:off x="58045" y="4713903"/>
                        <a:ext cx="2899242" cy="2062103"/>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buFont typeface="Arial"/>
                            <a:buChar char="•"/>
                          </a:pPr>
                          <a:r>
                            <a:rPr lang="en-US" sz="1600" dirty="0" smtClean="0"/>
                            <a:t>Stimulates </a:t>
                          </a:r>
                          <a:r>
                            <a:rPr lang="en-US" sz="1600" dirty="0" err="1" smtClean="0"/>
                            <a:t>hepatocellular</a:t>
                          </a:r>
                          <a:r>
                            <a:rPr lang="en-US" sz="1600" dirty="0" smtClean="0"/>
                            <a:t> regeneration</a:t>
                          </a:r>
                        </a:p>
                        <a:p>
                          <a:pPr>
                            <a:buFont typeface="Arial"/>
                            <a:buChar char="•"/>
                          </a:pPr>
                          <a:r>
                            <a:rPr lang="en-US" sz="1600" dirty="0" smtClean="0"/>
                            <a:t>Necessary for DNA replication</a:t>
                          </a:r>
                        </a:p>
                        <a:p>
                          <a:pPr>
                            <a:buFont typeface="Arial"/>
                            <a:buChar char="•"/>
                          </a:pPr>
                          <a:r>
                            <a:rPr lang="en-US" sz="1600" dirty="0" smtClean="0"/>
                            <a:t>May inhibit toxin induced proteases</a:t>
                          </a:r>
                        </a:p>
                        <a:p>
                          <a:pPr>
                            <a:buFont typeface="Arial"/>
                            <a:buChar char="•"/>
                          </a:pPr>
                          <a:r>
                            <a:rPr lang="en-US" sz="1600" dirty="0" smtClean="0"/>
                            <a:t>Ameliorates necrotizing effects of some toxins</a:t>
                          </a:r>
                          <a:endParaRPr lang="en-US" sz="1600" dirty="0"/>
                        </a:p>
                      </a:txBody>
                      <a:useSpRect/>
                    </a:txSp>
                  </a:sp>
                </lc:lockedCanvas>
              </a:graphicData>
            </a:graphic>
          </wp:inline>
        </w:drawing>
      </w:r>
    </w:p>
    <w:p w:rsidR="00222370" w:rsidRPr="00A5345D" w:rsidRDefault="00222370" w:rsidP="00222370">
      <w:pPr>
        <w:rPr>
          <w:rFonts w:ascii="MS Reference Sans Serif" w:hAnsi="MS Reference Sans Serif"/>
        </w:rPr>
      </w:pPr>
    </w:p>
    <w:p w:rsidR="00222370" w:rsidRPr="00A5345D" w:rsidRDefault="00222370" w:rsidP="00A5345D">
      <w:pPr>
        <w:pStyle w:val="ListParagraph"/>
        <w:numPr>
          <w:ilvl w:val="0"/>
          <w:numId w:val="3"/>
        </w:numPr>
        <w:rPr>
          <w:rFonts w:ascii="MS Reference Sans Serif" w:hAnsi="MS Reference Sans Serif"/>
        </w:rPr>
      </w:pPr>
      <w:r w:rsidRPr="00A5345D">
        <w:rPr>
          <w:rFonts w:ascii="MS Reference Sans Serif" w:eastAsia="新細明體" w:hAnsi="新細明體" w:cs="新細明體" w:hint="eastAsia"/>
        </w:rPr>
        <w:t></w:t>
      </w:r>
      <w:r w:rsidR="00A5345D" w:rsidRPr="00A5345D">
        <w:rPr>
          <w:rFonts w:ascii="MS Reference Sans Serif" w:eastAsia="新細明體" w:hAnsi="新細明體" w:cs="新細明體"/>
        </w:rPr>
        <w:t xml:space="preserve">Mechanism of </w:t>
      </w:r>
      <w:proofErr w:type="spellStart"/>
      <w:r w:rsidR="00A5345D" w:rsidRPr="00A5345D">
        <w:rPr>
          <w:rFonts w:ascii="MS Reference Sans Serif" w:eastAsia="新細明體" w:hAnsi="新細明體" w:cs="新細明體"/>
        </w:rPr>
        <w:t>action</w:t>
      </w:r>
      <w:proofErr w:type="spellEnd"/>
      <w:r w:rsidR="00A5345D" w:rsidRPr="00A5345D">
        <w:rPr>
          <w:rFonts w:ascii="MS Reference Sans Serif" w:eastAsia="新細明體" w:hAnsi="新細明體" w:cs="新細明體"/>
        </w:rPr>
        <w:t>:</w:t>
      </w:r>
      <w:r w:rsidR="00532BAF">
        <w:rPr>
          <w:rFonts w:ascii="MS Reference Sans Serif" w:hAnsi="MS Reference Sans Serif"/>
        </w:rPr>
        <w:t xml:space="preserve"> see above. </w:t>
      </w:r>
      <w:proofErr w:type="spellStart"/>
      <w:r w:rsidR="00532BAF">
        <w:rPr>
          <w:rFonts w:ascii="MS Reference Sans Serif" w:hAnsi="MS Reference Sans Serif"/>
        </w:rPr>
        <w:t>Methionine</w:t>
      </w:r>
      <w:proofErr w:type="spellEnd"/>
      <w:r w:rsidR="00532BAF">
        <w:rPr>
          <w:rFonts w:ascii="MS Reference Sans Serif" w:hAnsi="MS Reference Sans Serif"/>
        </w:rPr>
        <w:t xml:space="preserve"> and MAT1 levels are decrease in case of hepatitis. Supplementation has been shown to influence:</w:t>
      </w:r>
    </w:p>
    <w:p w:rsidR="00222370" w:rsidRPr="00A5345D" w:rsidRDefault="00222370" w:rsidP="00A5345D">
      <w:pPr>
        <w:ind w:left="720" w:firstLine="720"/>
        <w:rPr>
          <w:rFonts w:ascii="MS Reference Sans Serif" w:hAnsi="MS Reference Sans Serif"/>
        </w:rPr>
      </w:pPr>
      <w:r w:rsidRPr="00A5345D">
        <w:rPr>
          <w:rFonts w:ascii="MS Reference Sans Serif" w:hAnsi="MS Reference Sans Serif"/>
        </w:rPr>
        <w:t>› Gene expression</w:t>
      </w:r>
    </w:p>
    <w:p w:rsidR="00222370" w:rsidRPr="00A5345D" w:rsidRDefault="00222370" w:rsidP="00A5345D">
      <w:pPr>
        <w:ind w:left="720" w:firstLine="720"/>
        <w:rPr>
          <w:rFonts w:ascii="MS Reference Sans Serif" w:hAnsi="MS Reference Sans Serif"/>
        </w:rPr>
      </w:pPr>
      <w:r w:rsidRPr="00A5345D">
        <w:rPr>
          <w:rFonts w:ascii="MS Reference Sans Serif" w:hAnsi="MS Reference Sans Serif"/>
        </w:rPr>
        <w:t>›Apoptotic cascade</w:t>
      </w:r>
    </w:p>
    <w:p w:rsidR="00222370" w:rsidRPr="00A5345D" w:rsidRDefault="00222370" w:rsidP="00A5345D">
      <w:pPr>
        <w:ind w:left="720" w:firstLine="720"/>
        <w:rPr>
          <w:rFonts w:ascii="MS Reference Sans Serif" w:hAnsi="MS Reference Sans Serif"/>
        </w:rPr>
      </w:pPr>
      <w:r w:rsidRPr="00A5345D">
        <w:rPr>
          <w:rFonts w:ascii="MS Reference Sans Serif" w:hAnsi="MS Reference Sans Serif"/>
        </w:rPr>
        <w:t>›Cell response to cytokines</w:t>
      </w:r>
    </w:p>
    <w:p w:rsidR="00222370" w:rsidRPr="00A5345D" w:rsidRDefault="00222370" w:rsidP="00A5345D">
      <w:pPr>
        <w:ind w:left="720" w:firstLine="720"/>
        <w:rPr>
          <w:rFonts w:ascii="MS Reference Sans Serif" w:hAnsi="MS Reference Sans Serif"/>
        </w:rPr>
      </w:pPr>
      <w:r w:rsidRPr="00A5345D">
        <w:rPr>
          <w:rFonts w:ascii="MS Reference Sans Serif" w:hAnsi="MS Reference Sans Serif"/>
        </w:rPr>
        <w:t>›Membrane integrity</w:t>
      </w:r>
    </w:p>
    <w:p w:rsidR="00222370" w:rsidRPr="00A5345D" w:rsidRDefault="00222370" w:rsidP="00A5345D">
      <w:pPr>
        <w:ind w:left="720" w:firstLine="720"/>
        <w:rPr>
          <w:rFonts w:ascii="MS Reference Sans Serif" w:hAnsi="MS Reference Sans Serif"/>
        </w:rPr>
      </w:pPr>
      <w:r w:rsidRPr="00A5345D">
        <w:rPr>
          <w:rFonts w:ascii="MS Reference Sans Serif" w:hAnsi="MS Reference Sans Serif"/>
        </w:rPr>
        <w:t>›Mitochondrial function</w:t>
      </w:r>
    </w:p>
    <w:p w:rsidR="00222370" w:rsidRPr="00A5345D" w:rsidRDefault="00222370" w:rsidP="00532BAF">
      <w:pPr>
        <w:ind w:left="720" w:firstLine="720"/>
        <w:rPr>
          <w:rFonts w:ascii="MS Reference Sans Serif" w:hAnsi="MS Reference Sans Serif"/>
        </w:rPr>
      </w:pPr>
      <w:r w:rsidRPr="00A5345D">
        <w:rPr>
          <w:rFonts w:ascii="MS Reference Sans Serif" w:hAnsi="MS Reference Sans Serif"/>
        </w:rPr>
        <w:t>›</w:t>
      </w:r>
      <w:proofErr w:type="spellStart"/>
      <w:r w:rsidRPr="00A5345D">
        <w:rPr>
          <w:rFonts w:ascii="MS Reference Sans Serif" w:hAnsi="MS Reference Sans Serif"/>
        </w:rPr>
        <w:t>Redox</w:t>
      </w:r>
      <w:proofErr w:type="spellEnd"/>
      <w:r w:rsidRPr="00A5345D">
        <w:rPr>
          <w:rFonts w:ascii="MS Reference Sans Serif" w:hAnsi="MS Reference Sans Serif"/>
        </w:rPr>
        <w:t xml:space="preserve"> status</w:t>
      </w:r>
    </w:p>
    <w:p w:rsidR="00A5345D" w:rsidRPr="00A5345D" w:rsidRDefault="00222370" w:rsidP="00A5345D">
      <w:pPr>
        <w:pStyle w:val="ListParagraph"/>
        <w:numPr>
          <w:ilvl w:val="0"/>
          <w:numId w:val="3"/>
        </w:numPr>
        <w:rPr>
          <w:rFonts w:ascii="MS Reference Sans Serif" w:hAnsi="MS Reference Sans Serif"/>
        </w:rPr>
      </w:pPr>
      <w:r w:rsidRPr="00A5345D">
        <w:rPr>
          <w:rFonts w:ascii="MS Reference Sans Serif" w:eastAsia="新細明體" w:hAnsi="新細明體" w:cs="新細明體"/>
        </w:rPr>
        <w:t></w:t>
      </w:r>
      <w:proofErr w:type="spellStart"/>
      <w:r w:rsidR="00A5345D">
        <w:rPr>
          <w:rFonts w:ascii="MS Reference Sans Serif" w:eastAsia="新細明體" w:hAnsi="新細明體" w:cs="新細明體"/>
        </w:rPr>
        <w:t>Indications</w:t>
      </w:r>
      <w:proofErr w:type="spellEnd"/>
      <w:r w:rsidR="00A5345D">
        <w:rPr>
          <w:rFonts w:ascii="MS Reference Sans Serif" w:eastAsia="新細明體" w:hAnsi="新細明體" w:cs="新細明體"/>
        </w:rPr>
        <w:t>:</w:t>
      </w:r>
    </w:p>
    <w:p w:rsidR="00222370" w:rsidRPr="00A5345D" w:rsidRDefault="00222370" w:rsidP="00A5345D">
      <w:pPr>
        <w:pStyle w:val="ListParagraph"/>
        <w:numPr>
          <w:ilvl w:val="1"/>
          <w:numId w:val="3"/>
        </w:numPr>
        <w:rPr>
          <w:rFonts w:ascii="MS Reference Sans Serif" w:hAnsi="MS Reference Sans Serif"/>
        </w:rPr>
      </w:pPr>
      <w:proofErr w:type="spellStart"/>
      <w:proofErr w:type="gramStart"/>
      <w:r w:rsidRPr="00A5345D">
        <w:rPr>
          <w:rFonts w:ascii="MS Reference Sans Serif" w:hAnsi="MS Reference Sans Serif"/>
        </w:rPr>
        <w:t>Hepatoprotection</w:t>
      </w:r>
      <w:proofErr w:type="spellEnd"/>
      <w:r w:rsidRPr="00A5345D">
        <w:rPr>
          <w:rFonts w:ascii="MS Reference Sans Serif" w:hAnsi="MS Reference Sans Serif"/>
        </w:rPr>
        <w:t xml:space="preserve"> </w:t>
      </w:r>
      <w:r w:rsidR="00A5345D">
        <w:rPr>
          <w:rFonts w:ascii="MS Reference Sans Serif" w:hAnsi="MS Reference Sans Serif"/>
        </w:rPr>
        <w:t>:</w:t>
      </w:r>
      <w:r w:rsidRPr="00A5345D">
        <w:rPr>
          <w:rFonts w:ascii="MS Reference Sans Serif" w:hAnsi="MS Reference Sans Serif"/>
        </w:rPr>
        <w:t>Toxins</w:t>
      </w:r>
      <w:proofErr w:type="gramEnd"/>
      <w:r w:rsidRPr="00A5345D">
        <w:rPr>
          <w:rFonts w:ascii="MS Reference Sans Serif" w:hAnsi="MS Reference Sans Serif"/>
        </w:rPr>
        <w:t xml:space="preserve"> </w:t>
      </w:r>
    </w:p>
    <w:p w:rsidR="00222370" w:rsidRPr="00A5345D" w:rsidRDefault="00A5345D" w:rsidP="00A5345D">
      <w:pPr>
        <w:ind w:left="1440" w:firstLine="720"/>
        <w:rPr>
          <w:rFonts w:ascii="MS Reference Sans Serif" w:hAnsi="MS Reference Sans Serif"/>
        </w:rPr>
      </w:pPr>
      <w:r>
        <w:rPr>
          <w:rFonts w:ascii="MS Reference Sans Serif" w:hAnsi="MS Reference Sans Serif"/>
        </w:rPr>
        <w:t>-</w:t>
      </w:r>
      <w:proofErr w:type="spellStart"/>
      <w:r w:rsidR="00222370" w:rsidRPr="00A5345D">
        <w:rPr>
          <w:rFonts w:ascii="MS Reference Sans Serif" w:hAnsi="MS Reference Sans Serif"/>
        </w:rPr>
        <w:t>Acetaminphen</w:t>
      </w:r>
      <w:proofErr w:type="spellEnd"/>
    </w:p>
    <w:p w:rsidR="00222370" w:rsidRPr="00A5345D" w:rsidRDefault="00222370" w:rsidP="00A5345D">
      <w:pPr>
        <w:ind w:left="1440" w:firstLine="720"/>
        <w:rPr>
          <w:rFonts w:ascii="MS Reference Sans Serif" w:hAnsi="MS Reference Sans Serif"/>
        </w:rPr>
      </w:pPr>
      <w:r w:rsidRPr="00A5345D">
        <w:rPr>
          <w:rFonts w:ascii="MS Reference Sans Serif" w:eastAsia="新細明體" w:hAnsi="新細明體" w:cs="新細明體"/>
        </w:rPr>
        <w:t>–</w:t>
      </w:r>
      <w:r w:rsidRPr="00A5345D">
        <w:rPr>
          <w:rFonts w:ascii="MS Reference Sans Serif" w:hAnsi="MS Reference Sans Serif"/>
        </w:rPr>
        <w:t>Bile acids hepatitis</w:t>
      </w:r>
    </w:p>
    <w:p w:rsidR="00222370" w:rsidRPr="00532BAF" w:rsidRDefault="00222370" w:rsidP="00532BAF">
      <w:pPr>
        <w:pStyle w:val="ListParagraph"/>
        <w:numPr>
          <w:ilvl w:val="0"/>
          <w:numId w:val="10"/>
        </w:numPr>
        <w:rPr>
          <w:rFonts w:ascii="MS Reference Sans Serif" w:hAnsi="MS Reference Sans Serif"/>
        </w:rPr>
      </w:pPr>
      <w:r w:rsidRPr="00532BAF">
        <w:rPr>
          <w:rFonts w:ascii="MS Reference Sans Serif" w:hAnsi="MS Reference Sans Serif"/>
        </w:rPr>
        <w:t>EHBDO</w:t>
      </w:r>
    </w:p>
    <w:p w:rsidR="00222370" w:rsidRPr="00532BAF" w:rsidRDefault="00222370" w:rsidP="00532BAF">
      <w:pPr>
        <w:pStyle w:val="ListParagraph"/>
        <w:numPr>
          <w:ilvl w:val="0"/>
          <w:numId w:val="10"/>
        </w:numPr>
        <w:rPr>
          <w:rFonts w:ascii="MS Reference Sans Serif" w:hAnsi="MS Reference Sans Serif"/>
        </w:rPr>
      </w:pPr>
      <w:r w:rsidRPr="00532BAF">
        <w:rPr>
          <w:rFonts w:ascii="MS Reference Sans Serif" w:hAnsi="MS Reference Sans Serif"/>
        </w:rPr>
        <w:t>IRI</w:t>
      </w:r>
    </w:p>
    <w:p w:rsidR="00222370" w:rsidRPr="00A5345D" w:rsidRDefault="00222370" w:rsidP="00222370">
      <w:pPr>
        <w:pStyle w:val="ListParagraph"/>
        <w:numPr>
          <w:ilvl w:val="0"/>
          <w:numId w:val="3"/>
        </w:numPr>
        <w:rPr>
          <w:rFonts w:ascii="MS Reference Sans Serif" w:hAnsi="MS Reference Sans Serif"/>
        </w:rPr>
      </w:pPr>
      <w:r w:rsidRPr="00A5345D">
        <w:rPr>
          <w:rFonts w:ascii="MS Reference Sans Serif" w:eastAsia="新細明體" w:hAnsi="新細明體" w:cs="新細明體"/>
        </w:rPr>
        <w:t></w:t>
      </w:r>
      <w:r w:rsidRPr="00A5345D">
        <w:rPr>
          <w:rFonts w:ascii="MS Reference Sans Serif" w:hAnsi="MS Reference Sans Serif"/>
        </w:rPr>
        <w:t xml:space="preserve">Side </w:t>
      </w:r>
      <w:proofErr w:type="spellStart"/>
      <w:r w:rsidRPr="00A5345D">
        <w:rPr>
          <w:rFonts w:ascii="MS Reference Sans Serif" w:hAnsi="MS Reference Sans Serif"/>
        </w:rPr>
        <w:t>effects</w:t>
      </w:r>
      <w:proofErr w:type="spellEnd"/>
      <w:r w:rsidRPr="00A5345D">
        <w:rPr>
          <w:rFonts w:ascii="MS Reference Sans Serif" w:hAnsi="MS Reference Sans Serif"/>
        </w:rPr>
        <w:t>:</w:t>
      </w:r>
      <w:r w:rsidR="00A26FFA">
        <w:rPr>
          <w:rFonts w:ascii="MS Reference Sans Serif" w:hAnsi="MS Reference Sans Serif"/>
        </w:rPr>
        <w:t xml:space="preserve"> </w:t>
      </w:r>
      <w:r w:rsidRPr="00A5345D">
        <w:rPr>
          <w:rFonts w:ascii="MS Reference Sans Serif" w:hAnsi="MS Reference Sans Serif"/>
        </w:rPr>
        <w:t>Nausea</w:t>
      </w:r>
      <w:r w:rsidR="00A5345D" w:rsidRPr="00A5345D">
        <w:rPr>
          <w:rFonts w:ascii="MS Reference Sans Serif" w:hAnsi="MS Reference Sans Serif"/>
        </w:rPr>
        <w:t xml:space="preserve">, </w:t>
      </w:r>
      <w:r w:rsidRPr="00A5345D">
        <w:rPr>
          <w:rFonts w:ascii="MS Reference Sans Serif" w:hAnsi="MS Reference Sans Serif"/>
        </w:rPr>
        <w:t>Decreased appetite post pill ingestion</w:t>
      </w:r>
      <w:r w:rsidR="00A5345D" w:rsidRPr="00A5345D">
        <w:rPr>
          <w:rFonts w:ascii="MS Reference Sans Serif" w:hAnsi="MS Reference Sans Serif"/>
        </w:rPr>
        <w:t xml:space="preserve">, </w:t>
      </w:r>
      <w:r w:rsidRPr="00A5345D">
        <w:rPr>
          <w:rFonts w:ascii="MS Reference Sans Serif" w:hAnsi="MS Reference Sans Serif"/>
        </w:rPr>
        <w:t>Anxiety</w:t>
      </w:r>
      <w:r w:rsidR="00A5345D" w:rsidRPr="00A5345D">
        <w:rPr>
          <w:rFonts w:ascii="MS Reference Sans Serif" w:hAnsi="MS Reference Sans Serif"/>
        </w:rPr>
        <w:t xml:space="preserve">, </w:t>
      </w:r>
      <w:r w:rsidRPr="00A5345D">
        <w:rPr>
          <w:rFonts w:ascii="MS Reference Sans Serif" w:hAnsi="MS Reference Sans Serif"/>
        </w:rPr>
        <w:t>Vomiting post pill cats</w:t>
      </w:r>
    </w:p>
    <w:p w:rsidR="00222370" w:rsidRPr="00A5345D" w:rsidRDefault="00222370" w:rsidP="00A5345D">
      <w:pPr>
        <w:pStyle w:val="ListParagraph"/>
        <w:numPr>
          <w:ilvl w:val="0"/>
          <w:numId w:val="3"/>
        </w:numPr>
        <w:rPr>
          <w:rFonts w:ascii="MS Reference Sans Serif" w:hAnsi="MS Reference Sans Serif"/>
        </w:rPr>
      </w:pPr>
      <w:r w:rsidRPr="00A5345D">
        <w:rPr>
          <w:rFonts w:ascii="MS Reference Sans Serif" w:eastAsia="新細明體" w:hAnsi="新細明體" w:cs="新細明體"/>
        </w:rPr>
        <w:t></w:t>
      </w:r>
      <w:r w:rsidR="00A5345D">
        <w:rPr>
          <w:rFonts w:ascii="MS Reference Sans Serif" w:eastAsia="新細明體" w:hAnsi="新細明體" w:cs="新細明體"/>
        </w:rPr>
        <w:t xml:space="preserve">Dose and administration: </w:t>
      </w:r>
      <w:r w:rsidRPr="00A5345D">
        <w:rPr>
          <w:rFonts w:ascii="MS Reference Sans Serif" w:hAnsi="MS Reference Sans Serif"/>
        </w:rPr>
        <w:t>20 mg/kg SID Fasted animal</w:t>
      </w:r>
    </w:p>
    <w:p w:rsidR="00A5345D" w:rsidRDefault="00222370" w:rsidP="00222370">
      <w:pPr>
        <w:rPr>
          <w:rFonts w:ascii="MS Reference Sans Serif" w:hAnsi="MS Reference Sans Serif"/>
        </w:rPr>
      </w:pPr>
      <w:r w:rsidRPr="00A5345D">
        <w:rPr>
          <w:rFonts w:ascii="MS Reference Sans Serif" w:eastAsia="新細明體" w:hAnsi="新細明體" w:cs="新細明體"/>
        </w:rPr>
        <w:t></w:t>
      </w:r>
      <w:r w:rsidR="00A5345D">
        <w:rPr>
          <w:rFonts w:ascii="MS Reference Sans Serif" w:eastAsia="新細明體" w:hAnsi="新細明體" w:cs="新細明體"/>
        </w:rPr>
        <w:tab/>
      </w:r>
      <w:r w:rsidR="00A5345D">
        <w:rPr>
          <w:rFonts w:ascii="MS Reference Sans Serif" w:eastAsia="新細明體" w:hAnsi="新細明體" w:cs="新細明體"/>
        </w:rPr>
        <w:tab/>
      </w:r>
      <w:r w:rsidRPr="00A5345D">
        <w:rPr>
          <w:rFonts w:ascii="MS Reference Sans Serif" w:hAnsi="MS Reference Sans Serif"/>
        </w:rPr>
        <w:t>Peak plasma</w:t>
      </w:r>
      <w:r w:rsidR="00A5345D">
        <w:rPr>
          <w:rFonts w:ascii="MS Reference Sans Serif" w:hAnsi="MS Reference Sans Serif"/>
        </w:rPr>
        <w:t xml:space="preserve">: </w:t>
      </w:r>
      <w:r w:rsidRPr="00A5345D">
        <w:rPr>
          <w:rFonts w:ascii="MS Reference Sans Serif" w:hAnsi="MS Reference Sans Serif"/>
        </w:rPr>
        <w:t>1-4 hrs dogs</w:t>
      </w:r>
    </w:p>
    <w:p w:rsidR="00A5345D" w:rsidRDefault="00222370" w:rsidP="00A5345D">
      <w:pPr>
        <w:ind w:left="1440" w:firstLine="720"/>
        <w:rPr>
          <w:rFonts w:ascii="MS Reference Sans Serif" w:hAnsi="MS Reference Sans Serif"/>
        </w:rPr>
      </w:pPr>
      <w:r w:rsidRPr="00A5345D">
        <w:rPr>
          <w:rFonts w:ascii="MS Reference Sans Serif" w:hAnsi="MS Reference Sans Serif"/>
        </w:rPr>
        <w:t>2-8 hrs cats</w:t>
      </w:r>
    </w:p>
    <w:p w:rsidR="00A5345D" w:rsidRDefault="00A5345D" w:rsidP="00A5345D">
      <w:pPr>
        <w:ind w:left="1440" w:firstLine="720"/>
        <w:rPr>
          <w:rFonts w:ascii="MS Reference Sans Serif" w:hAnsi="MS Reference Sans Serif"/>
        </w:rPr>
      </w:pPr>
    </w:p>
    <w:p w:rsidR="00222370" w:rsidRPr="00A5345D" w:rsidRDefault="00A5345D" w:rsidP="00A5345D">
      <w:pPr>
        <w:rPr>
          <w:rFonts w:ascii="MS Reference Sans Serif" w:hAnsi="MS Reference Sans Serif"/>
          <w:b/>
          <w:u w:val="single"/>
        </w:rPr>
      </w:pPr>
      <w:r w:rsidRPr="00A5345D">
        <w:rPr>
          <w:rFonts w:ascii="MS Reference Sans Serif" w:hAnsi="MS Reference Sans Serif"/>
          <w:b/>
          <w:u w:val="single"/>
        </w:rPr>
        <w:t xml:space="preserve">Vitamin E: </w:t>
      </w:r>
      <w:proofErr w:type="spellStart"/>
      <w:r w:rsidRPr="00A5345D">
        <w:rPr>
          <w:rFonts w:ascii="MS Reference Sans Serif" w:hAnsi="MS Reference Sans Serif"/>
          <w:b/>
          <w:u w:val="single"/>
        </w:rPr>
        <w:t>Tocopherol</w:t>
      </w:r>
      <w:proofErr w:type="spellEnd"/>
      <w:r w:rsidRPr="00A5345D">
        <w:rPr>
          <w:rFonts w:ascii="MS Reference Sans Serif" w:hAnsi="MS Reference Sans Serif"/>
          <w:b/>
          <w:u w:val="single"/>
        </w:rPr>
        <w:t xml:space="preserve"> and </w:t>
      </w:r>
      <w:proofErr w:type="spellStart"/>
      <w:r w:rsidRPr="00A5345D">
        <w:rPr>
          <w:rFonts w:ascii="MS Reference Sans Serif" w:hAnsi="MS Reference Sans Serif"/>
          <w:b/>
          <w:u w:val="single"/>
        </w:rPr>
        <w:t>tocotrienol</w:t>
      </w:r>
      <w:proofErr w:type="spellEnd"/>
    </w:p>
    <w:p w:rsidR="00D37155" w:rsidRDefault="00D37155" w:rsidP="00222370">
      <w:pPr>
        <w:rPr>
          <w:rFonts w:ascii="MS Reference Sans Serif" w:hAnsi="MS Reference Sans Serif"/>
        </w:rPr>
      </w:pPr>
    </w:p>
    <w:p w:rsidR="00D37155" w:rsidRDefault="00D37155" w:rsidP="00D37155">
      <w:pPr>
        <w:pStyle w:val="ListParagraph"/>
        <w:numPr>
          <w:ilvl w:val="0"/>
          <w:numId w:val="4"/>
        </w:numPr>
        <w:rPr>
          <w:rFonts w:ascii="MS Reference Sans Serif" w:hAnsi="MS Reference Sans Serif"/>
        </w:rPr>
      </w:pPr>
      <w:r>
        <w:rPr>
          <w:rFonts w:ascii="MS Reference Sans Serif" w:hAnsi="MS Reference Sans Serif"/>
        </w:rPr>
        <w:t>Mechanism of action:</w:t>
      </w:r>
    </w:p>
    <w:p w:rsidR="00D37155" w:rsidRDefault="00532BAF" w:rsidP="00D37155">
      <w:pPr>
        <w:pStyle w:val="ListParagraph"/>
        <w:numPr>
          <w:ilvl w:val="1"/>
          <w:numId w:val="4"/>
        </w:numPr>
        <w:rPr>
          <w:rFonts w:ascii="MS Reference Sans Serif" w:hAnsi="MS Reference Sans Serif"/>
        </w:rPr>
      </w:pPr>
      <w:r>
        <w:rPr>
          <w:rFonts w:ascii="Verdana" w:eastAsiaTheme="minorHAnsi" w:hAnsi="Verdana" w:cs="Verdana"/>
          <w:sz w:val="26"/>
          <w:szCs w:val="26"/>
          <w:lang w:bidi="ar-SA"/>
        </w:rPr>
        <w:t>C</w:t>
      </w:r>
      <w:r w:rsidR="00D37155">
        <w:rPr>
          <w:rFonts w:ascii="Verdana" w:eastAsiaTheme="minorHAnsi" w:hAnsi="Verdana" w:cs="Verdana"/>
          <w:sz w:val="26"/>
          <w:szCs w:val="26"/>
          <w:lang w:bidi="ar-SA"/>
        </w:rPr>
        <w:t>ellular metabolism of sulfur</w:t>
      </w:r>
    </w:p>
    <w:p w:rsidR="00D37155" w:rsidRDefault="00D37155" w:rsidP="00D37155">
      <w:pPr>
        <w:pStyle w:val="ListParagraph"/>
        <w:numPr>
          <w:ilvl w:val="1"/>
          <w:numId w:val="4"/>
        </w:numPr>
        <w:rPr>
          <w:rFonts w:ascii="MS Reference Sans Serif" w:hAnsi="MS Reference Sans Serif"/>
        </w:rPr>
      </w:pPr>
      <w:r w:rsidRPr="00A5345D">
        <w:rPr>
          <w:rFonts w:ascii="MS Reference Sans Serif" w:hAnsi="MS Reference Sans Serif"/>
        </w:rPr>
        <w:t xml:space="preserve">Prevents lipid </w:t>
      </w:r>
      <w:proofErr w:type="spellStart"/>
      <w:r w:rsidRPr="00A5345D">
        <w:rPr>
          <w:rFonts w:ascii="MS Reference Sans Serif" w:hAnsi="MS Reference Sans Serif"/>
        </w:rPr>
        <w:t>perodixation</w:t>
      </w:r>
    </w:p>
    <w:p w:rsidR="00D37155" w:rsidRDefault="00D37155" w:rsidP="00D37155">
      <w:pPr>
        <w:pStyle w:val="ListParagraph"/>
        <w:numPr>
          <w:ilvl w:val="1"/>
          <w:numId w:val="4"/>
        </w:numPr>
        <w:rPr>
          <w:rFonts w:ascii="MS Reference Sans Serif" w:hAnsi="MS Reference Sans Serif"/>
        </w:rPr>
      </w:pPr>
      <w:proofErr w:type="spellEnd"/>
      <w:r w:rsidRPr="00D37155">
        <w:rPr>
          <w:rFonts w:ascii="MS Reference Sans Serif" w:hAnsi="MS Reference Sans Serif"/>
        </w:rPr>
        <w:t>Needs</w:t>
      </w:r>
      <w:r>
        <w:rPr>
          <w:rFonts w:ascii="MS Reference Sans Serif" w:hAnsi="MS Reference Sans Serif"/>
        </w:rPr>
        <w:t xml:space="preserve"> </w:t>
      </w:r>
      <w:proofErr w:type="spellStart"/>
      <w:r w:rsidRPr="00D37155">
        <w:rPr>
          <w:rFonts w:ascii="MS Reference Sans Serif" w:hAnsi="MS Reference Sans Serif"/>
        </w:rPr>
        <w:t>Vit</w:t>
      </w:r>
      <w:proofErr w:type="spellEnd"/>
      <w:r w:rsidRPr="00D37155">
        <w:rPr>
          <w:rFonts w:ascii="MS Reference Sans Serif" w:hAnsi="MS Reference Sans Serif"/>
        </w:rPr>
        <w:t xml:space="preserve"> C to regenerate</w:t>
      </w:r>
    </w:p>
    <w:p w:rsidR="00D37155" w:rsidRPr="00D37155" w:rsidRDefault="00D37155" w:rsidP="00D37155">
      <w:pPr>
        <w:pStyle w:val="ListParagraph"/>
        <w:numPr>
          <w:ilvl w:val="1"/>
          <w:numId w:val="4"/>
        </w:numPr>
        <w:rPr>
          <w:rFonts w:ascii="MS Reference Sans Serif" w:hAnsi="MS Reference Sans Serif"/>
        </w:rPr>
      </w:pPr>
      <w:r>
        <w:rPr>
          <w:rFonts w:ascii="Verdana" w:eastAsiaTheme="minorHAnsi" w:hAnsi="Verdana" w:cs="Verdana"/>
          <w:sz w:val="26"/>
          <w:szCs w:val="26"/>
          <w:lang w:bidi="ar-SA"/>
        </w:rPr>
        <w:t xml:space="preserve">With selenium, it protects against red blood cell </w:t>
      </w:r>
      <w:proofErr w:type="spellStart"/>
      <w:r>
        <w:rPr>
          <w:rFonts w:ascii="Verdana" w:eastAsiaTheme="minorHAnsi" w:hAnsi="Verdana" w:cs="Verdana"/>
          <w:sz w:val="26"/>
          <w:szCs w:val="26"/>
          <w:lang w:bidi="ar-SA"/>
        </w:rPr>
        <w:t>hemolysis</w:t>
      </w:r>
      <w:proofErr w:type="spellEnd"/>
      <w:r>
        <w:rPr>
          <w:rFonts w:ascii="Verdana" w:eastAsiaTheme="minorHAnsi" w:hAnsi="Verdana" w:cs="Verdana"/>
          <w:sz w:val="26"/>
          <w:szCs w:val="26"/>
          <w:lang w:bidi="ar-SA"/>
        </w:rPr>
        <w:t xml:space="preserve"> and prevents the action of </w:t>
      </w:r>
      <w:proofErr w:type="spellStart"/>
      <w:r>
        <w:rPr>
          <w:rFonts w:ascii="Verdana" w:eastAsiaTheme="minorHAnsi" w:hAnsi="Verdana" w:cs="Verdana"/>
          <w:sz w:val="26"/>
          <w:szCs w:val="26"/>
          <w:lang w:bidi="ar-SA"/>
        </w:rPr>
        <w:t>peroxidase</w:t>
      </w:r>
      <w:proofErr w:type="spellEnd"/>
      <w:r>
        <w:rPr>
          <w:rFonts w:ascii="Verdana" w:eastAsiaTheme="minorHAnsi" w:hAnsi="Verdana" w:cs="Verdana"/>
          <w:sz w:val="26"/>
          <w:szCs w:val="26"/>
          <w:lang w:bidi="ar-SA"/>
        </w:rPr>
        <w:t xml:space="preserve"> on unsaturated bonds in cell membranes.</w:t>
      </w:r>
    </w:p>
    <w:p w:rsidR="00222370" w:rsidRPr="00D37155" w:rsidRDefault="00222370" w:rsidP="00D37155">
      <w:pPr>
        <w:ind w:left="1080"/>
        <w:rPr>
          <w:rFonts w:ascii="MS Reference Sans Serif" w:hAnsi="MS Reference Sans Serif"/>
        </w:rPr>
      </w:pPr>
    </w:p>
    <w:p w:rsidR="00D37155" w:rsidRDefault="00222370" w:rsidP="00D37155">
      <w:pPr>
        <w:pStyle w:val="ListParagraph"/>
        <w:numPr>
          <w:ilvl w:val="0"/>
          <w:numId w:val="4"/>
        </w:numPr>
        <w:rPr>
          <w:rFonts w:ascii="MS Reference Sans Serif" w:hAnsi="MS Reference Sans Serif"/>
        </w:rPr>
      </w:pPr>
      <w:r w:rsidRPr="00D37155">
        <w:rPr>
          <w:rFonts w:ascii="MS Reference Sans Serif" w:eastAsia="新細明體" w:hAnsi="新細明體" w:cs="新細明體"/>
        </w:rPr>
        <w:t></w:t>
      </w:r>
      <w:r w:rsidR="00D37155" w:rsidRPr="00D37155">
        <w:rPr>
          <w:rFonts w:ascii="MS Reference Sans Serif" w:hAnsi="MS Reference Sans Serif"/>
        </w:rPr>
        <w:t xml:space="preserve">Dose and </w:t>
      </w:r>
      <w:proofErr w:type="spellStart"/>
      <w:r w:rsidR="00D37155" w:rsidRPr="00D37155">
        <w:rPr>
          <w:rFonts w:ascii="MS Reference Sans Serif" w:hAnsi="MS Reference Sans Serif"/>
        </w:rPr>
        <w:t>administration</w:t>
      </w:r>
      <w:proofErr w:type="spellEnd"/>
      <w:r w:rsidR="00D37155" w:rsidRPr="00D37155">
        <w:rPr>
          <w:rFonts w:ascii="MS Reference Sans Serif" w:hAnsi="MS Reference Sans Serif"/>
        </w:rPr>
        <w:t xml:space="preserve">: </w:t>
      </w:r>
      <w:r w:rsidR="00D37155" w:rsidRPr="00A5345D">
        <w:rPr>
          <w:rFonts w:ascii="MS Reference Sans Serif" w:hAnsi="MS Reference Sans Serif"/>
        </w:rPr>
        <w:t>10 IU/kg per day</w:t>
      </w:r>
      <w:r w:rsidR="00D37155">
        <w:rPr>
          <w:rFonts w:ascii="MS Reference Sans Serif" w:hAnsi="MS Reference Sans Serif"/>
        </w:rPr>
        <w:t>.</w:t>
      </w:r>
      <w:r w:rsidR="00D37155" w:rsidRPr="00D37155">
        <w:rPr>
          <w:rFonts w:ascii="MS Reference Sans Serif" w:hAnsi="MS Reference Sans Serif"/>
        </w:rPr>
        <w:t xml:space="preserve"> </w:t>
      </w:r>
      <w:proofErr w:type="spellStart"/>
      <w:r w:rsidRPr="00D37155">
        <w:rPr>
          <w:rFonts w:ascii="MS Reference Sans Serif" w:hAnsi="MS Reference Sans Serif"/>
        </w:rPr>
        <w:t>Lipophyllic</w:t>
      </w:r>
      <w:proofErr w:type="spellEnd"/>
      <w:r w:rsidRPr="00D37155">
        <w:rPr>
          <w:rFonts w:ascii="MS Reference Sans Serif" w:hAnsi="MS Reference Sans Serif"/>
        </w:rPr>
        <w:t xml:space="preserve"> requires bile and pancreatic juice for GI absorption</w:t>
      </w:r>
      <w:r w:rsidR="00D37155">
        <w:rPr>
          <w:rFonts w:ascii="MS Reference Sans Serif" w:hAnsi="MS Reference Sans Serif"/>
        </w:rPr>
        <w:t xml:space="preserve"> </w:t>
      </w:r>
    </w:p>
    <w:p w:rsidR="00222370" w:rsidRPr="00D37155" w:rsidRDefault="00D37155" w:rsidP="00D37155">
      <w:pPr>
        <w:pStyle w:val="ListParagraph"/>
        <w:numPr>
          <w:ilvl w:val="0"/>
          <w:numId w:val="4"/>
        </w:numPr>
        <w:rPr>
          <w:rFonts w:ascii="MS Reference Sans Serif" w:hAnsi="MS Reference Sans Serif"/>
        </w:rPr>
      </w:pPr>
      <w:r>
        <w:rPr>
          <w:rFonts w:ascii="MS Reference Sans Serif" w:hAnsi="MS Reference Sans Serif"/>
        </w:rPr>
        <w:t xml:space="preserve">Side effects: </w:t>
      </w:r>
      <w:proofErr w:type="spellStart"/>
      <w:r w:rsidR="00A26FFA">
        <w:rPr>
          <w:rFonts w:ascii="Verdana" w:eastAsiaTheme="minorHAnsi" w:hAnsi="Verdana" w:cs="Verdana"/>
          <w:sz w:val="26"/>
          <w:szCs w:val="26"/>
          <w:lang w:bidi="ar-SA"/>
        </w:rPr>
        <w:t>Anaphylactoid</w:t>
      </w:r>
      <w:proofErr w:type="spellEnd"/>
      <w:r w:rsidR="00A26FFA">
        <w:rPr>
          <w:rFonts w:ascii="Verdana" w:eastAsiaTheme="minorHAnsi" w:hAnsi="Verdana" w:cs="Verdana"/>
          <w:sz w:val="26"/>
          <w:szCs w:val="26"/>
          <w:lang w:bidi="ar-SA"/>
        </w:rPr>
        <w:t xml:space="preserve"> reactions have been reported. Intramuscular injections may be associated with transient muscle soreness.</w:t>
      </w:r>
    </w:p>
    <w:p w:rsidR="00222370" w:rsidRPr="00A5345D" w:rsidRDefault="00222370" w:rsidP="00222370">
      <w:pPr>
        <w:rPr>
          <w:rFonts w:ascii="MS Reference Sans Serif" w:hAnsi="MS Reference Sans Serif"/>
        </w:rPr>
      </w:pPr>
      <w:r w:rsidRPr="00A5345D">
        <w:rPr>
          <w:rFonts w:ascii="MS Reference Sans Serif" w:eastAsia="新細明體" w:hAnsi="新細明體" w:cs="新細明體"/>
        </w:rPr>
        <w:t></w:t>
      </w:r>
      <w:r w:rsidRPr="00A5345D">
        <w:rPr>
          <w:rFonts w:ascii="MS Reference Sans Serif" w:hAnsi="MS Reference Sans Serif"/>
        </w:rPr>
        <w:t>Meta-analysis humans: increased mortality when dose&gt; 150 u/ d</w:t>
      </w:r>
    </w:p>
    <w:p w:rsidR="00222370" w:rsidRPr="00A5345D" w:rsidRDefault="00222370" w:rsidP="00222370">
      <w:pPr>
        <w:rPr>
          <w:rFonts w:ascii="MS Reference Sans Serif" w:hAnsi="MS Reference Sans Serif"/>
        </w:rPr>
      </w:pPr>
      <w:r w:rsidRPr="00A5345D">
        <w:rPr>
          <w:rFonts w:ascii="MS Reference Sans Serif" w:eastAsia="新細明體" w:hAnsi="新細明體" w:cs="新細明體"/>
        </w:rPr>
        <w:t></w:t>
      </w:r>
    </w:p>
    <w:p w:rsidR="00222370" w:rsidRPr="00A5345D" w:rsidRDefault="00222370" w:rsidP="00222370">
      <w:pPr>
        <w:rPr>
          <w:rFonts w:ascii="MS Reference Sans Serif" w:hAnsi="MS Reference Sans Serif"/>
        </w:rPr>
      </w:pPr>
    </w:p>
    <w:p w:rsidR="00222370" w:rsidRPr="00A5345D" w:rsidRDefault="00222370" w:rsidP="00222370">
      <w:pPr>
        <w:rPr>
          <w:rFonts w:ascii="MS Reference Sans Serif" w:hAnsi="MS Reference Sans Serif"/>
        </w:rPr>
      </w:pPr>
      <w:r w:rsidRPr="00A5345D">
        <w:rPr>
          <w:rFonts w:ascii="MS Reference Sans Serif" w:eastAsia="新細明體" w:hAnsi="新細明體" w:cs="新細明體"/>
        </w:rPr>
        <w:t></w:t>
      </w:r>
      <w:proofErr w:type="spellStart"/>
      <w:r w:rsidRPr="00A5345D">
        <w:rPr>
          <w:rFonts w:ascii="MS Reference Sans Serif" w:hAnsi="MS Reference Sans Serif"/>
          <w:b/>
          <w:u w:val="single"/>
        </w:rPr>
        <w:t>Silymarin</w:t>
      </w:r>
      <w:proofErr w:type="spellEnd"/>
    </w:p>
    <w:p w:rsidR="00A26FFA" w:rsidRDefault="00A26FFA" w:rsidP="00A26FFA">
      <w:pPr>
        <w:pStyle w:val="ListParagraph"/>
        <w:numPr>
          <w:ilvl w:val="0"/>
          <w:numId w:val="5"/>
        </w:numPr>
        <w:rPr>
          <w:rFonts w:ascii="MS Reference Sans Serif" w:hAnsi="MS Reference Sans Serif"/>
        </w:rPr>
      </w:pPr>
      <w:r>
        <w:rPr>
          <w:rFonts w:ascii="MS Reference Sans Serif" w:hAnsi="MS Reference Sans Serif"/>
        </w:rPr>
        <w:t>Mechanism of action:</w:t>
      </w:r>
    </w:p>
    <w:p w:rsidR="00A26FFA" w:rsidRDefault="00222370" w:rsidP="00A26FFA">
      <w:pPr>
        <w:pStyle w:val="ListParagraph"/>
        <w:numPr>
          <w:ilvl w:val="1"/>
          <w:numId w:val="5"/>
        </w:numPr>
        <w:rPr>
          <w:rFonts w:ascii="MS Reference Sans Serif" w:hAnsi="MS Reference Sans Serif"/>
        </w:rPr>
      </w:pPr>
      <w:proofErr w:type="spellStart"/>
      <w:r w:rsidRPr="00A26FFA">
        <w:rPr>
          <w:rFonts w:ascii="MS Reference Sans Serif" w:hAnsi="MS Reference Sans Serif"/>
        </w:rPr>
        <w:t>Antioxydant</w:t>
      </w:r>
      <w:proofErr w:type="spellEnd"/>
      <w:r w:rsidRPr="00A26FFA">
        <w:rPr>
          <w:rFonts w:ascii="MS Reference Sans Serif" w:hAnsi="MS Reference Sans Serif"/>
        </w:rPr>
        <w:t xml:space="preserve"> and free radical scavenger</w:t>
      </w:r>
    </w:p>
    <w:p w:rsidR="00A26FFA" w:rsidRDefault="00222370" w:rsidP="00222370">
      <w:pPr>
        <w:pStyle w:val="ListParagraph"/>
        <w:numPr>
          <w:ilvl w:val="1"/>
          <w:numId w:val="5"/>
        </w:numPr>
        <w:rPr>
          <w:rFonts w:ascii="MS Reference Sans Serif" w:hAnsi="MS Reference Sans Serif"/>
        </w:rPr>
      </w:pPr>
      <w:r w:rsidRPr="00A26FFA">
        <w:rPr>
          <w:rFonts w:ascii="MS Reference Sans Serif" w:hAnsi="MS Reference Sans Serif"/>
        </w:rPr>
        <w:t xml:space="preserve">Decreases lipid </w:t>
      </w:r>
      <w:proofErr w:type="spellStart"/>
      <w:r w:rsidRPr="00A26FFA">
        <w:rPr>
          <w:rFonts w:ascii="MS Reference Sans Serif" w:hAnsi="MS Reference Sans Serif"/>
        </w:rPr>
        <w:t>peroxidation</w:t>
      </w:r>
    </w:p>
    <w:p w:rsidR="00A26FFA" w:rsidRDefault="00222370" w:rsidP="00222370">
      <w:pPr>
        <w:pStyle w:val="ListParagraph"/>
        <w:numPr>
          <w:ilvl w:val="1"/>
          <w:numId w:val="5"/>
        </w:numPr>
        <w:rPr>
          <w:rFonts w:ascii="MS Reference Sans Serif" w:hAnsi="MS Reference Sans Serif"/>
        </w:rPr>
      </w:pPr>
      <w:r w:rsidRPr="00A26FFA">
        <w:rPr>
          <w:rFonts w:ascii="MS Reference Sans Serif" w:hAnsi="MS Reference Sans Serif"/>
        </w:rPr>
        <w:t>Antifibrotic</w:t>
      </w:r>
      <w:proofErr w:type="spellEnd"/>
      <w:r w:rsidRPr="00A26FFA">
        <w:rPr>
          <w:rFonts w:ascii="MS Reference Sans Serif" w:hAnsi="MS Reference Sans Serif"/>
        </w:rPr>
        <w:t xml:space="preserve"> effects</w:t>
      </w:r>
    </w:p>
    <w:p w:rsidR="00A26FFA" w:rsidRDefault="00222370" w:rsidP="00222370">
      <w:pPr>
        <w:pStyle w:val="ListParagraph"/>
        <w:numPr>
          <w:ilvl w:val="1"/>
          <w:numId w:val="5"/>
        </w:numPr>
        <w:rPr>
          <w:rFonts w:ascii="MS Reference Sans Serif" w:hAnsi="MS Reference Sans Serif"/>
        </w:rPr>
      </w:pPr>
      <w:r w:rsidRPr="00A26FFA">
        <w:rPr>
          <w:rFonts w:ascii="MS Reference Sans Serif" w:hAnsi="MS Reference Sans Serif"/>
        </w:rPr>
        <w:t>Anti inflammatory effects</w:t>
      </w:r>
    </w:p>
    <w:p w:rsidR="00A26FFA" w:rsidRDefault="00222370" w:rsidP="00222370">
      <w:pPr>
        <w:pStyle w:val="ListParagraph"/>
        <w:numPr>
          <w:ilvl w:val="3"/>
          <w:numId w:val="5"/>
        </w:numPr>
        <w:rPr>
          <w:rFonts w:ascii="MS Reference Sans Serif" w:hAnsi="MS Reference Sans Serif"/>
        </w:rPr>
      </w:pPr>
      <w:r w:rsidRPr="00A26FFA">
        <w:rPr>
          <w:rFonts w:ascii="MS Reference Sans Serif" w:hAnsi="MS Reference Sans Serif"/>
        </w:rPr>
        <w:t>Decreases NF-</w:t>
      </w:r>
      <w:proofErr w:type="spellStart"/>
      <w:r w:rsidRPr="00A26FFA">
        <w:rPr>
          <w:rFonts w:ascii="MS Reference Sans Serif" w:hAnsi="MS Reference Sans Serif"/>
        </w:rPr>
        <w:t>κβnuclear</w:t>
      </w:r>
      <w:proofErr w:type="spellEnd"/>
      <w:r w:rsidRPr="00A26FFA">
        <w:rPr>
          <w:rFonts w:ascii="MS Reference Sans Serif" w:hAnsi="MS Reference Sans Serif"/>
        </w:rPr>
        <w:t xml:space="preserve"> DNA </w:t>
      </w:r>
      <w:proofErr w:type="spellStart"/>
      <w:r w:rsidRPr="00A26FFA">
        <w:rPr>
          <w:rFonts w:ascii="MS Reference Sans Serif" w:hAnsi="MS Reference Sans Serif"/>
        </w:rPr>
        <w:t>binding</w:t>
      </w:r>
    </w:p>
    <w:p w:rsidR="00A26FFA" w:rsidRDefault="00222370" w:rsidP="00222370">
      <w:pPr>
        <w:pStyle w:val="ListParagraph"/>
        <w:numPr>
          <w:ilvl w:val="1"/>
          <w:numId w:val="5"/>
        </w:numPr>
        <w:rPr>
          <w:rFonts w:ascii="MS Reference Sans Serif" w:hAnsi="MS Reference Sans Serif"/>
        </w:rPr>
      </w:pPr>
      <w:r w:rsidRPr="00A26FFA">
        <w:rPr>
          <w:rFonts w:ascii="MS Reference Sans Serif" w:hAnsi="MS Reference Sans Serif"/>
        </w:rPr>
        <w:t>Immunomodulatory</w:t>
      </w:r>
      <w:proofErr w:type="spellEnd"/>
      <w:r w:rsidRPr="00A26FFA">
        <w:rPr>
          <w:rFonts w:ascii="MS Reference Sans Serif" w:hAnsi="MS Reference Sans Serif"/>
        </w:rPr>
        <w:t xml:space="preserve"> effects</w:t>
      </w:r>
    </w:p>
    <w:p w:rsidR="00A26FFA" w:rsidRDefault="00222370" w:rsidP="00222370">
      <w:pPr>
        <w:pStyle w:val="ListParagraph"/>
        <w:numPr>
          <w:ilvl w:val="1"/>
          <w:numId w:val="5"/>
        </w:numPr>
        <w:rPr>
          <w:rFonts w:ascii="MS Reference Sans Serif" w:hAnsi="MS Reference Sans Serif"/>
        </w:rPr>
      </w:pPr>
      <w:r w:rsidRPr="00A26FFA">
        <w:rPr>
          <w:rFonts w:ascii="MS Reference Sans Serif" w:hAnsi="MS Reference Sans Serif"/>
        </w:rPr>
        <w:t>Increase gene transcription/ translation</w:t>
      </w:r>
    </w:p>
    <w:p w:rsidR="00A26FFA" w:rsidRDefault="00222370" w:rsidP="00222370">
      <w:pPr>
        <w:pStyle w:val="ListParagraph"/>
        <w:numPr>
          <w:ilvl w:val="1"/>
          <w:numId w:val="5"/>
        </w:numPr>
        <w:rPr>
          <w:rFonts w:ascii="MS Reference Sans Serif" w:hAnsi="MS Reference Sans Serif"/>
        </w:rPr>
      </w:pPr>
      <w:r w:rsidRPr="00A26FFA">
        <w:rPr>
          <w:rFonts w:ascii="MS Reference Sans Serif" w:hAnsi="MS Reference Sans Serif"/>
        </w:rPr>
        <w:t xml:space="preserve">Accelerates </w:t>
      </w:r>
      <w:proofErr w:type="spellStart"/>
      <w:r w:rsidRPr="00A26FFA">
        <w:rPr>
          <w:rFonts w:ascii="MS Reference Sans Serif" w:hAnsi="MS Reference Sans Serif"/>
        </w:rPr>
        <w:t>hepatocellular</w:t>
      </w:r>
      <w:proofErr w:type="spellEnd"/>
      <w:r w:rsidRPr="00A26FFA">
        <w:rPr>
          <w:rFonts w:ascii="MS Reference Sans Serif" w:hAnsi="MS Reference Sans Serif"/>
        </w:rPr>
        <w:t xml:space="preserve"> </w:t>
      </w:r>
      <w:proofErr w:type="spellStart"/>
      <w:r w:rsidRPr="00A26FFA">
        <w:rPr>
          <w:rFonts w:ascii="MS Reference Sans Serif" w:hAnsi="MS Reference Sans Serif"/>
        </w:rPr>
        <w:t>regenerationInduced</w:t>
      </w:r>
      <w:proofErr w:type="spellEnd"/>
      <w:r w:rsidRPr="00A26FFA">
        <w:rPr>
          <w:rFonts w:ascii="MS Reference Sans Serif" w:hAnsi="MS Reference Sans Serif"/>
        </w:rPr>
        <w:t xml:space="preserve"> synthesis of </w:t>
      </w:r>
      <w:proofErr w:type="spellStart"/>
      <w:r w:rsidRPr="00A26FFA">
        <w:rPr>
          <w:rFonts w:ascii="MS Reference Sans Serif" w:hAnsi="MS Reference Sans Serif"/>
        </w:rPr>
        <w:t>ursodeoxychloic</w:t>
      </w:r>
      <w:proofErr w:type="spellEnd"/>
      <w:r w:rsidRPr="00A26FFA">
        <w:rPr>
          <w:rFonts w:ascii="MS Reference Sans Serif" w:hAnsi="MS Reference Sans Serif"/>
        </w:rPr>
        <w:t xml:space="preserve"> acid</w:t>
      </w:r>
    </w:p>
    <w:p w:rsidR="00A26FFA" w:rsidRPr="00A26FFA" w:rsidRDefault="00A26FFA" w:rsidP="00A26FFA">
      <w:pPr>
        <w:pStyle w:val="ListParagraph"/>
        <w:numPr>
          <w:ilvl w:val="1"/>
          <w:numId w:val="5"/>
        </w:numPr>
        <w:rPr>
          <w:rFonts w:ascii="MS Reference Sans Serif" w:hAnsi="MS Reference Sans Serif"/>
        </w:rPr>
      </w:pPr>
      <w:r w:rsidRPr="00A26FFA">
        <w:rPr>
          <w:rFonts w:ascii="MS Reference Sans Serif" w:hAnsi="MS Reference Sans Serif"/>
        </w:rPr>
        <w:t>Anti- inflammatory effects</w:t>
      </w:r>
    </w:p>
    <w:p w:rsidR="00A26FFA" w:rsidRPr="00A26FFA" w:rsidRDefault="00A26FFA" w:rsidP="00A26FFA">
      <w:pPr>
        <w:pStyle w:val="ListParagraph"/>
        <w:numPr>
          <w:ilvl w:val="1"/>
          <w:numId w:val="5"/>
        </w:numPr>
        <w:rPr>
          <w:rFonts w:ascii="MS Reference Sans Serif" w:hAnsi="MS Reference Sans Serif"/>
        </w:rPr>
      </w:pPr>
      <w:r w:rsidRPr="00A26FFA">
        <w:rPr>
          <w:rFonts w:ascii="MS Reference Sans Serif" w:eastAsia="新細明體" w:hAnsi="新細明體" w:cs="新細明體"/>
        </w:rPr>
        <w:t></w:t>
      </w:r>
      <w:r w:rsidRPr="00A26FFA">
        <w:rPr>
          <w:rFonts w:ascii="MS Reference Sans Serif" w:hAnsi="MS Reference Sans Serif"/>
        </w:rPr>
        <w:t>Cell and mitochondrial membrane protection</w:t>
      </w:r>
    </w:p>
    <w:p w:rsidR="00A26FFA" w:rsidRPr="00A26FFA" w:rsidRDefault="00A26FFA" w:rsidP="00A26FFA">
      <w:pPr>
        <w:pStyle w:val="ListParagraph"/>
        <w:numPr>
          <w:ilvl w:val="1"/>
          <w:numId w:val="5"/>
        </w:numPr>
        <w:rPr>
          <w:rFonts w:ascii="MS Reference Sans Serif" w:hAnsi="MS Reference Sans Serif"/>
        </w:rPr>
      </w:pPr>
      <w:r w:rsidRPr="00A26FFA">
        <w:rPr>
          <w:rFonts w:ascii="MS Reference Sans Serif" w:eastAsia="新細明體" w:hAnsi="新細明體" w:cs="新細明體"/>
        </w:rPr>
        <w:t></w:t>
      </w:r>
      <w:r w:rsidRPr="00A26FFA">
        <w:rPr>
          <w:rFonts w:ascii="MS Reference Sans Serif" w:hAnsi="MS Reference Sans Serif"/>
        </w:rPr>
        <w:t>Blockade of cell membrane transporters or receptors</w:t>
      </w:r>
    </w:p>
    <w:p w:rsidR="00A26FFA" w:rsidRPr="00A26FFA" w:rsidRDefault="00A26FFA" w:rsidP="00A26FFA">
      <w:pPr>
        <w:pStyle w:val="ListParagraph"/>
        <w:numPr>
          <w:ilvl w:val="1"/>
          <w:numId w:val="5"/>
        </w:numPr>
        <w:rPr>
          <w:rFonts w:ascii="MS Reference Sans Serif" w:hAnsi="MS Reference Sans Serif"/>
        </w:rPr>
      </w:pPr>
      <w:r w:rsidRPr="00A26FFA">
        <w:rPr>
          <w:rFonts w:ascii="MS Reference Sans Serif" w:eastAsia="新細明體" w:hAnsi="新細明體" w:cs="新細明體"/>
        </w:rPr>
        <w:t></w:t>
      </w:r>
      <w:r w:rsidRPr="00A26FFA">
        <w:rPr>
          <w:rFonts w:ascii="MS Reference Sans Serif" w:hAnsi="MS Reference Sans Serif"/>
        </w:rPr>
        <w:t>Altered xenobiotics metabolisms</w:t>
      </w:r>
    </w:p>
    <w:p w:rsidR="00A26FFA" w:rsidRPr="00A26FFA" w:rsidRDefault="00A26FFA" w:rsidP="00A26FFA">
      <w:pPr>
        <w:pStyle w:val="ListParagraph"/>
        <w:numPr>
          <w:ilvl w:val="1"/>
          <w:numId w:val="5"/>
        </w:numPr>
        <w:rPr>
          <w:rFonts w:ascii="MS Reference Sans Serif" w:hAnsi="MS Reference Sans Serif"/>
        </w:rPr>
      </w:pPr>
      <w:r w:rsidRPr="00A26FFA">
        <w:rPr>
          <w:rFonts w:ascii="MS Reference Sans Serif" w:eastAsia="新細明體" w:hAnsi="新細明體" w:cs="新細明體"/>
        </w:rPr>
        <w:t></w:t>
      </w:r>
      <w:r w:rsidRPr="00A26FFA">
        <w:rPr>
          <w:rFonts w:ascii="MS Reference Sans Serif" w:hAnsi="MS Reference Sans Serif"/>
        </w:rPr>
        <w:t>Augmented toxic adduct elimination</w:t>
      </w:r>
    </w:p>
    <w:p w:rsidR="00222370" w:rsidRPr="00A26FFA" w:rsidRDefault="00222370" w:rsidP="00A26FFA">
      <w:pPr>
        <w:pStyle w:val="ListParagraph"/>
        <w:ind w:left="1440"/>
        <w:rPr>
          <w:rFonts w:ascii="MS Reference Sans Serif" w:hAnsi="MS Reference Sans Serif"/>
        </w:rPr>
      </w:pPr>
    </w:p>
    <w:p w:rsidR="00222370" w:rsidRPr="00A26FFA" w:rsidRDefault="00222370" w:rsidP="00A26FFA">
      <w:pPr>
        <w:pStyle w:val="ListParagraph"/>
        <w:numPr>
          <w:ilvl w:val="0"/>
          <w:numId w:val="5"/>
        </w:numPr>
        <w:rPr>
          <w:rFonts w:ascii="MS Reference Sans Serif" w:hAnsi="MS Reference Sans Serif"/>
        </w:rPr>
      </w:pPr>
      <w:r w:rsidRPr="00A26FFA">
        <w:rPr>
          <w:rFonts w:ascii="MS Reference Sans Serif" w:eastAsia="新細明體" w:hAnsi="新細明體" w:cs="新細明體"/>
        </w:rPr>
        <w:t></w:t>
      </w:r>
      <w:r w:rsidR="00A26FFA">
        <w:rPr>
          <w:rFonts w:ascii="MS Reference Sans Serif" w:hAnsi="MS Reference Sans Serif"/>
        </w:rPr>
        <w:t>Indication:</w:t>
      </w:r>
      <w:r w:rsidRPr="00A26FFA">
        <w:rPr>
          <w:rFonts w:ascii="MS Reference Sans Serif" w:hAnsi="MS Reference Sans Serif"/>
        </w:rPr>
        <w:t xml:space="preserve"> </w:t>
      </w:r>
      <w:proofErr w:type="spellStart"/>
      <w:r w:rsidRPr="00A26FFA">
        <w:rPr>
          <w:rFonts w:ascii="MS Reference Sans Serif" w:hAnsi="MS Reference Sans Serif"/>
        </w:rPr>
        <w:t>hepatoxin</w:t>
      </w:r>
      <w:proofErr w:type="spellEnd"/>
    </w:p>
    <w:p w:rsidR="00222370" w:rsidRPr="00A26FFA" w:rsidRDefault="00222370" w:rsidP="00A26FFA">
      <w:pPr>
        <w:pStyle w:val="ListParagraph"/>
        <w:numPr>
          <w:ilvl w:val="1"/>
          <w:numId w:val="5"/>
        </w:numPr>
        <w:rPr>
          <w:rFonts w:ascii="MS Reference Sans Serif" w:hAnsi="MS Reference Sans Serif"/>
        </w:rPr>
      </w:pPr>
      <w:r w:rsidRPr="00A26FFA">
        <w:rPr>
          <w:rFonts w:ascii="MS Reference Sans Serif" w:hAnsi="MS Reference Sans Serif"/>
        </w:rPr>
        <w:t>Acetaminophen</w:t>
      </w:r>
    </w:p>
    <w:p w:rsidR="00A26FFA" w:rsidRDefault="00222370" w:rsidP="00222370">
      <w:pPr>
        <w:pStyle w:val="ListParagraph"/>
        <w:numPr>
          <w:ilvl w:val="1"/>
          <w:numId w:val="5"/>
        </w:numPr>
        <w:rPr>
          <w:rFonts w:ascii="MS Reference Sans Serif" w:hAnsi="MS Reference Sans Serif"/>
        </w:rPr>
      </w:pPr>
      <w:r w:rsidRPr="00A26FFA">
        <w:rPr>
          <w:rFonts w:ascii="MS Reference Sans Serif" w:hAnsi="MS Reference Sans Serif"/>
        </w:rPr>
        <w:t xml:space="preserve">Carbon </w:t>
      </w:r>
      <w:proofErr w:type="spellStart"/>
      <w:r w:rsidRPr="00A26FFA">
        <w:rPr>
          <w:rFonts w:ascii="MS Reference Sans Serif" w:hAnsi="MS Reference Sans Serif"/>
        </w:rPr>
        <w:t>tetrachloride</w:t>
      </w:r>
    </w:p>
    <w:p w:rsidR="00A26FFA" w:rsidRDefault="00A26FFA" w:rsidP="00222370">
      <w:pPr>
        <w:pStyle w:val="ListParagraph"/>
        <w:numPr>
          <w:ilvl w:val="1"/>
          <w:numId w:val="5"/>
        </w:numPr>
        <w:rPr>
          <w:rFonts w:ascii="MS Reference Sans Serif" w:hAnsi="MS Reference Sans Serif"/>
        </w:rPr>
      </w:pPr>
      <w:r>
        <w:rPr>
          <w:rFonts w:ascii="MS Reference Sans Serif" w:hAnsi="MS Reference Sans Serif"/>
        </w:rPr>
        <w:t>Radia</w:t>
      </w:r>
      <w:r w:rsidR="00222370" w:rsidRPr="00A26FFA">
        <w:rPr>
          <w:rFonts w:ascii="MS Reference Sans Serif" w:hAnsi="MS Reference Sans Serif"/>
        </w:rPr>
        <w:t>tion</w:t>
      </w:r>
    </w:p>
    <w:p w:rsidR="00A26FFA" w:rsidRDefault="00222370" w:rsidP="00222370">
      <w:pPr>
        <w:pStyle w:val="ListParagraph"/>
        <w:numPr>
          <w:ilvl w:val="1"/>
          <w:numId w:val="5"/>
        </w:numPr>
        <w:rPr>
          <w:rFonts w:ascii="MS Reference Sans Serif" w:hAnsi="MS Reference Sans Serif"/>
        </w:rPr>
      </w:pPr>
      <w:proofErr w:type="spellEnd"/>
      <w:r w:rsidRPr="00A26FFA">
        <w:rPr>
          <w:rFonts w:ascii="MS Reference Sans Serif" w:hAnsi="MS Reference Sans Serif"/>
        </w:rPr>
        <w:t xml:space="preserve">Iron </w:t>
      </w:r>
    </w:p>
    <w:p w:rsidR="00A26FFA" w:rsidRPr="00A26FFA" w:rsidRDefault="00222370" w:rsidP="00222370">
      <w:pPr>
        <w:pStyle w:val="ListParagraph"/>
        <w:numPr>
          <w:ilvl w:val="1"/>
          <w:numId w:val="5"/>
        </w:numPr>
        <w:rPr>
          <w:rFonts w:ascii="MS Reference Sans Serif" w:hAnsi="MS Reference Sans Serif"/>
        </w:rPr>
      </w:pPr>
      <w:proofErr w:type="spellStart"/>
      <w:r w:rsidRPr="00A26FFA">
        <w:rPr>
          <w:rFonts w:ascii="MS Reference Sans Serif" w:hAnsi="MS Reference Sans Serif"/>
          <w:b/>
          <w:bCs/>
          <w:i/>
          <w:iCs/>
        </w:rPr>
        <w:t>Amanita</w:t>
      </w:r>
    </w:p>
    <w:p w:rsidR="00A26FFA" w:rsidRPr="00A26FFA" w:rsidRDefault="00222370" w:rsidP="00222370">
      <w:pPr>
        <w:pStyle w:val="ListParagraph"/>
        <w:numPr>
          <w:ilvl w:val="1"/>
          <w:numId w:val="5"/>
        </w:numPr>
        <w:rPr>
          <w:rFonts w:ascii="MS Reference Sans Serif" w:hAnsi="MS Reference Sans Serif"/>
        </w:rPr>
      </w:pPr>
      <w:r w:rsidRPr="00A26FFA">
        <w:rPr>
          <w:rFonts w:ascii="MS Reference Sans Serif" w:hAnsi="MS Reference Sans Serif"/>
        </w:rPr>
        <w:t>Aflatoxin</w:t>
      </w:r>
      <w:proofErr w:type="spellEnd"/>
      <w:r w:rsidRPr="00A26FFA">
        <w:rPr>
          <w:rFonts w:ascii="MS Reference Sans Serif" w:hAnsi="MS Reference Sans Serif"/>
        </w:rPr>
        <w:t xml:space="preserve"> B</w:t>
      </w:r>
      <w:r w:rsidRPr="00A26FFA">
        <w:rPr>
          <w:rFonts w:ascii="MS Reference Sans Serif" w:hAnsi="MS Reference Sans Serif"/>
          <w:vertAlign w:val="subscript"/>
        </w:rPr>
        <w:t>1</w:t>
      </w:r>
    </w:p>
    <w:p w:rsidR="00A26FFA" w:rsidRDefault="00222370" w:rsidP="00222370">
      <w:pPr>
        <w:pStyle w:val="ListParagraph"/>
        <w:numPr>
          <w:ilvl w:val="1"/>
          <w:numId w:val="5"/>
        </w:numPr>
        <w:rPr>
          <w:rFonts w:ascii="MS Reference Sans Serif" w:hAnsi="MS Reference Sans Serif"/>
        </w:rPr>
      </w:pPr>
      <w:proofErr w:type="spellStart"/>
      <w:r w:rsidRPr="00A26FFA">
        <w:rPr>
          <w:rFonts w:ascii="MS Reference Sans Serif" w:hAnsi="MS Reference Sans Serif"/>
        </w:rPr>
        <w:t>Ethanol</w:t>
      </w:r>
    </w:p>
    <w:p w:rsidR="00A26FFA" w:rsidRDefault="00222370" w:rsidP="00222370">
      <w:pPr>
        <w:pStyle w:val="ListParagraph"/>
        <w:numPr>
          <w:ilvl w:val="1"/>
          <w:numId w:val="5"/>
        </w:numPr>
        <w:rPr>
          <w:rFonts w:ascii="MS Reference Sans Serif" w:hAnsi="MS Reference Sans Serif"/>
        </w:rPr>
      </w:pPr>
      <w:r w:rsidRPr="00A26FFA">
        <w:rPr>
          <w:rFonts w:ascii="MS Reference Sans Serif" w:hAnsi="MS Reference Sans Serif"/>
        </w:rPr>
        <w:t>Thioacetamide</w:t>
      </w:r>
    </w:p>
    <w:p w:rsidR="00A26FFA" w:rsidRDefault="00222370" w:rsidP="00222370">
      <w:pPr>
        <w:pStyle w:val="ListParagraph"/>
        <w:numPr>
          <w:ilvl w:val="1"/>
          <w:numId w:val="5"/>
        </w:numPr>
        <w:rPr>
          <w:rFonts w:ascii="MS Reference Sans Serif" w:hAnsi="MS Reference Sans Serif"/>
        </w:rPr>
      </w:pPr>
      <w:r w:rsidRPr="00A26FFA">
        <w:rPr>
          <w:rFonts w:ascii="MS Reference Sans Serif" w:hAnsi="MS Reference Sans Serif"/>
        </w:rPr>
        <w:t>Microcystin</w:t>
      </w:r>
      <w:proofErr w:type="spellEnd"/>
      <w:r w:rsidRPr="00A26FFA">
        <w:rPr>
          <w:rFonts w:ascii="MS Reference Sans Serif" w:hAnsi="MS Reference Sans Serif"/>
        </w:rPr>
        <w:t xml:space="preserve"> (</w:t>
      </w:r>
      <w:proofErr w:type="spellStart"/>
      <w:r w:rsidRPr="00A26FFA">
        <w:rPr>
          <w:rFonts w:ascii="MS Reference Sans Serif" w:hAnsi="MS Reference Sans Serif"/>
        </w:rPr>
        <w:t>cyanobacteria</w:t>
      </w:r>
      <w:proofErr w:type="spellEnd"/>
      <w:r w:rsidRPr="00A26FFA">
        <w:rPr>
          <w:rFonts w:ascii="MS Reference Sans Serif" w:hAnsi="MS Reference Sans Serif"/>
        </w:rPr>
        <w:t>)</w:t>
      </w:r>
    </w:p>
    <w:p w:rsidR="00A26FFA" w:rsidRDefault="00222370" w:rsidP="00222370">
      <w:pPr>
        <w:pStyle w:val="ListParagraph"/>
        <w:numPr>
          <w:ilvl w:val="1"/>
          <w:numId w:val="5"/>
        </w:numPr>
        <w:rPr>
          <w:rFonts w:ascii="MS Reference Sans Serif" w:hAnsi="MS Reference Sans Serif"/>
        </w:rPr>
      </w:pPr>
      <w:proofErr w:type="spellStart"/>
      <w:r w:rsidRPr="00A26FFA">
        <w:rPr>
          <w:rFonts w:ascii="MS Reference Sans Serif" w:hAnsi="MS Reference Sans Serif"/>
        </w:rPr>
        <w:t>Cysplatin</w:t>
      </w:r>
    </w:p>
    <w:p w:rsidR="00222370" w:rsidRPr="00A26FFA" w:rsidRDefault="00222370" w:rsidP="00222370">
      <w:pPr>
        <w:pStyle w:val="ListParagraph"/>
        <w:numPr>
          <w:ilvl w:val="1"/>
          <w:numId w:val="5"/>
        </w:numPr>
        <w:rPr>
          <w:rFonts w:ascii="MS Reference Sans Serif" w:hAnsi="MS Reference Sans Serif"/>
        </w:rPr>
      </w:pPr>
      <w:r w:rsidRPr="00A26FFA">
        <w:rPr>
          <w:rFonts w:ascii="MS Reference Sans Serif" w:hAnsi="MS Reference Sans Serif"/>
        </w:rPr>
        <w:t>Methotreaxte</w:t>
      </w:r>
      <w:proofErr w:type="spellEnd"/>
    </w:p>
    <w:p w:rsidR="00222370" w:rsidRPr="00A5345D" w:rsidRDefault="00222370" w:rsidP="00222370">
      <w:pPr>
        <w:rPr>
          <w:rFonts w:ascii="MS Reference Sans Serif" w:hAnsi="MS Reference Sans Serif"/>
        </w:rPr>
      </w:pPr>
    </w:p>
    <w:p w:rsidR="00222370" w:rsidRPr="00A26FFA" w:rsidRDefault="00A26FFA" w:rsidP="00A26FFA">
      <w:pPr>
        <w:pStyle w:val="ListParagraph"/>
        <w:numPr>
          <w:ilvl w:val="0"/>
          <w:numId w:val="5"/>
        </w:numPr>
        <w:rPr>
          <w:rFonts w:ascii="MS Reference Sans Serif" w:hAnsi="MS Reference Sans Serif"/>
        </w:rPr>
      </w:pPr>
      <w:r>
        <w:rPr>
          <w:rFonts w:ascii="MS Reference Sans Serif" w:eastAsia="新細明體" w:hAnsi="新細明體" w:cs="新細明體"/>
        </w:rPr>
        <w:t xml:space="preserve">Dose: </w:t>
      </w:r>
      <w:r w:rsidR="00222370" w:rsidRPr="00A26FFA">
        <w:rPr>
          <w:rFonts w:ascii="MS Reference Sans Serif" w:hAnsi="MS Reference Sans Serif"/>
        </w:rPr>
        <w:t>20-50 mg/kg q 24 h</w:t>
      </w:r>
    </w:p>
    <w:p w:rsidR="00222370" w:rsidRPr="00A5345D" w:rsidRDefault="00222370" w:rsidP="00A26FFA">
      <w:pPr>
        <w:rPr>
          <w:rFonts w:ascii="MS Reference Sans Serif" w:hAnsi="MS Reference Sans Serif"/>
        </w:rPr>
      </w:pPr>
      <w:r w:rsidRPr="00A5345D">
        <w:rPr>
          <w:rFonts w:ascii="MS Reference Sans Serif" w:eastAsia="新細明體" w:hAnsi="新細明體" w:cs="新細明體"/>
        </w:rPr>
        <w:t></w:t>
      </w:r>
      <w:r w:rsidR="00A26FFA" w:rsidRPr="00A5345D">
        <w:rPr>
          <w:rFonts w:ascii="MS Reference Sans Serif" w:hAnsi="MS Reference Sans Serif"/>
        </w:rPr>
        <w:t xml:space="preserve"> </w:t>
      </w:r>
    </w:p>
    <w:p w:rsidR="00222370" w:rsidRPr="00A5345D" w:rsidRDefault="00222370" w:rsidP="00222370">
      <w:pPr>
        <w:rPr>
          <w:rFonts w:ascii="MS Reference Sans Serif" w:hAnsi="MS Reference Sans Serif"/>
        </w:rPr>
      </w:pPr>
      <w:r w:rsidRPr="00A5345D">
        <w:rPr>
          <w:rFonts w:ascii="MS Reference Sans Serif" w:eastAsia="新細明體" w:hAnsi="新細明體" w:cs="新細明體"/>
        </w:rPr>
        <w:t></w:t>
      </w:r>
      <w:r w:rsidRPr="00A26FFA">
        <w:rPr>
          <w:rFonts w:ascii="MS Reference Sans Serif" w:hAnsi="MS Reference Sans Serif"/>
          <w:b/>
          <w:u w:val="single"/>
        </w:rPr>
        <w:t>Non absorbable disaccharides</w:t>
      </w:r>
      <w:r w:rsidR="00A26FFA">
        <w:rPr>
          <w:rFonts w:ascii="MS Reference Sans Serif" w:hAnsi="MS Reference Sans Serif"/>
        </w:rPr>
        <w:t xml:space="preserve"> (</w:t>
      </w:r>
      <w:proofErr w:type="spellStart"/>
      <w:r w:rsidRPr="00A5345D">
        <w:rPr>
          <w:rFonts w:ascii="MS Reference Sans Serif" w:hAnsi="MS Reference Sans Serif"/>
        </w:rPr>
        <w:t>Lactulose</w:t>
      </w:r>
      <w:proofErr w:type="spellEnd"/>
      <w:r w:rsidRPr="00A5345D">
        <w:rPr>
          <w:rFonts w:ascii="MS Reference Sans Serif" w:hAnsi="MS Reference Sans Serif"/>
        </w:rPr>
        <w:t xml:space="preserve">- </w:t>
      </w:r>
      <w:proofErr w:type="spellStart"/>
      <w:r w:rsidRPr="00A5345D">
        <w:rPr>
          <w:rFonts w:ascii="MS Reference Sans Serif" w:hAnsi="MS Reference Sans Serif"/>
        </w:rPr>
        <w:t>Lactitol</w:t>
      </w:r>
      <w:proofErr w:type="spellEnd"/>
      <w:r w:rsidR="00A26FFA">
        <w:rPr>
          <w:rFonts w:ascii="MS Reference Sans Serif" w:hAnsi="MS Reference Sans Serif"/>
        </w:rPr>
        <w:t>)</w:t>
      </w:r>
    </w:p>
    <w:p w:rsidR="00A26FFA" w:rsidRPr="00A26FFA" w:rsidRDefault="00A26FFA" w:rsidP="00A26FFA">
      <w:pPr>
        <w:pStyle w:val="ListParagraph"/>
        <w:numPr>
          <w:ilvl w:val="0"/>
          <w:numId w:val="6"/>
        </w:numPr>
        <w:rPr>
          <w:rFonts w:ascii="MS Reference Sans Serif" w:hAnsi="MS Reference Sans Serif"/>
        </w:rPr>
      </w:pPr>
      <w:r w:rsidRPr="00A26FFA">
        <w:rPr>
          <w:rFonts w:ascii="MS Reference Sans Serif" w:hAnsi="MS Reference Sans Serif"/>
        </w:rPr>
        <w:t>Mechanism of action:</w:t>
      </w:r>
      <w:r w:rsidRPr="00A26FFA">
        <w:rPr>
          <w:rFonts w:ascii="Verdana" w:eastAsiaTheme="minorHAnsi" w:hAnsi="Verdana" w:cs="Verdana"/>
          <w:sz w:val="26"/>
          <w:szCs w:val="26"/>
          <w:lang w:bidi="ar-SA"/>
        </w:rPr>
        <w:t xml:space="preserve"> </w:t>
      </w:r>
    </w:p>
    <w:p w:rsidR="00A26FFA" w:rsidRPr="00A26FFA" w:rsidRDefault="00A26FFA" w:rsidP="00A26FFA">
      <w:pPr>
        <w:pStyle w:val="ListParagraph"/>
        <w:numPr>
          <w:ilvl w:val="1"/>
          <w:numId w:val="6"/>
        </w:numPr>
        <w:rPr>
          <w:rFonts w:ascii="MS Reference Sans Serif" w:hAnsi="MS Reference Sans Serif"/>
        </w:rPr>
      </w:pPr>
      <w:r w:rsidRPr="00A26FFA">
        <w:rPr>
          <w:rFonts w:ascii="Verdana" w:eastAsiaTheme="minorHAnsi" w:hAnsi="Verdana" w:cs="Verdana"/>
          <w:sz w:val="26"/>
          <w:szCs w:val="26"/>
          <w:lang w:bidi="ar-SA"/>
        </w:rPr>
        <w:t xml:space="preserve">Upon reaching the colon, </w:t>
      </w:r>
      <w:proofErr w:type="spellStart"/>
      <w:r w:rsidRPr="00A26FFA">
        <w:rPr>
          <w:rFonts w:ascii="Verdana" w:eastAsiaTheme="minorHAnsi" w:hAnsi="Verdana" w:cs="Verdana"/>
          <w:sz w:val="26"/>
          <w:szCs w:val="26"/>
          <w:lang w:bidi="ar-SA"/>
        </w:rPr>
        <w:t>lactulose</w:t>
      </w:r>
      <w:proofErr w:type="spellEnd"/>
      <w:r w:rsidRPr="00A26FFA">
        <w:rPr>
          <w:rFonts w:ascii="Verdana" w:eastAsiaTheme="minorHAnsi" w:hAnsi="Verdana" w:cs="Verdana"/>
          <w:sz w:val="26"/>
          <w:szCs w:val="26"/>
          <w:lang w:bidi="ar-SA"/>
        </w:rPr>
        <w:t xml:space="preserve"> is metabolized by the resident bacteria resulting in the formation of low molecular weight acids (lactic, formic, acetic) and CO</w:t>
      </w:r>
      <w:r w:rsidRPr="00A26FFA">
        <w:rPr>
          <w:rFonts w:ascii="Verdana" w:eastAsiaTheme="minorHAnsi" w:hAnsi="Verdana" w:cs="Verdana"/>
          <w:sz w:val="22"/>
          <w:szCs w:val="22"/>
          <w:vertAlign w:val="subscript"/>
          <w:lang w:bidi="ar-SA"/>
        </w:rPr>
        <w:t xml:space="preserve">2. </w:t>
      </w:r>
    </w:p>
    <w:p w:rsidR="00A26FFA" w:rsidRDefault="00222370" w:rsidP="00A26FFA">
      <w:pPr>
        <w:pStyle w:val="ListParagraph"/>
        <w:numPr>
          <w:ilvl w:val="2"/>
          <w:numId w:val="6"/>
        </w:numPr>
        <w:rPr>
          <w:rFonts w:ascii="MS Reference Sans Serif" w:hAnsi="MS Reference Sans Serif"/>
        </w:rPr>
      </w:pPr>
      <w:r w:rsidRPr="00A26FFA">
        <w:rPr>
          <w:rFonts w:ascii="MS Reference Sans Serif" w:hAnsi="MS Reference Sans Serif"/>
        </w:rPr>
        <w:t>Cathartic effect</w:t>
      </w:r>
    </w:p>
    <w:p w:rsidR="00A26FFA" w:rsidRDefault="00222370" w:rsidP="00A26FFA">
      <w:pPr>
        <w:pStyle w:val="ListParagraph"/>
        <w:numPr>
          <w:ilvl w:val="2"/>
          <w:numId w:val="6"/>
        </w:numPr>
        <w:rPr>
          <w:rFonts w:ascii="MS Reference Sans Serif" w:hAnsi="MS Reference Sans Serif"/>
        </w:rPr>
      </w:pPr>
      <w:r w:rsidRPr="00A26FFA">
        <w:rPr>
          <w:rFonts w:ascii="MS Reference Sans Serif" w:hAnsi="MS Reference Sans Serif"/>
        </w:rPr>
        <w:t>Reduces luminal pH</w:t>
      </w:r>
      <w:r w:rsidR="00A26FFA">
        <w:rPr>
          <w:rFonts w:ascii="MS Reference Sans Serif" w:hAnsi="MS Reference Sans Serif"/>
        </w:rPr>
        <w:t>:</w:t>
      </w:r>
    </w:p>
    <w:p w:rsidR="00222370" w:rsidRPr="00A26FFA" w:rsidRDefault="00222370" w:rsidP="00A26FFA">
      <w:pPr>
        <w:pStyle w:val="ListParagraph"/>
        <w:numPr>
          <w:ilvl w:val="3"/>
          <w:numId w:val="6"/>
        </w:numPr>
        <w:rPr>
          <w:rFonts w:ascii="MS Reference Sans Serif" w:hAnsi="MS Reference Sans Serif"/>
        </w:rPr>
      </w:pPr>
      <w:r w:rsidRPr="00A26FFA">
        <w:rPr>
          <w:rFonts w:ascii="MS Reference Sans Serif" w:hAnsi="MS Reference Sans Serif"/>
        </w:rPr>
        <w:t xml:space="preserve">Hostile environment for </w:t>
      </w:r>
      <w:proofErr w:type="spellStart"/>
      <w:r w:rsidRPr="00A26FFA">
        <w:rPr>
          <w:rFonts w:ascii="MS Reference Sans Serif" w:hAnsi="MS Reference Sans Serif"/>
        </w:rPr>
        <w:t>urease</w:t>
      </w:r>
      <w:proofErr w:type="spellEnd"/>
      <w:r w:rsidRPr="00A26FFA">
        <w:rPr>
          <w:rFonts w:ascii="MS Reference Sans Serif" w:hAnsi="MS Reference Sans Serif"/>
        </w:rPr>
        <w:t xml:space="preserve"> bacteria</w:t>
      </w:r>
    </w:p>
    <w:p w:rsidR="00A26FFA" w:rsidRDefault="00222370" w:rsidP="00A26FFA">
      <w:pPr>
        <w:pStyle w:val="ListParagraph"/>
        <w:numPr>
          <w:ilvl w:val="3"/>
          <w:numId w:val="6"/>
        </w:numPr>
        <w:rPr>
          <w:rFonts w:ascii="MS Reference Sans Serif" w:hAnsi="MS Reference Sans Serif"/>
        </w:rPr>
      </w:pPr>
      <w:r w:rsidRPr="00A26FFA">
        <w:rPr>
          <w:rFonts w:ascii="MS Reference Sans Serif" w:hAnsi="MS Reference Sans Serif"/>
        </w:rPr>
        <w:t>Reduces net NH</w:t>
      </w:r>
      <w:r w:rsidRPr="00A26FFA">
        <w:rPr>
          <w:rFonts w:ascii="MS Reference Sans Serif" w:hAnsi="MS Reference Sans Serif"/>
          <w:vertAlign w:val="subscript"/>
        </w:rPr>
        <w:t>3</w:t>
      </w:r>
      <w:r w:rsidRPr="00A26FFA">
        <w:rPr>
          <w:rFonts w:ascii="MS Reference Sans Serif" w:hAnsi="MS Reference Sans Serif"/>
        </w:rPr>
        <w:t xml:space="preserve"> absorption</w:t>
      </w:r>
    </w:p>
    <w:p w:rsidR="00A26FFA" w:rsidRDefault="00222370" w:rsidP="00A26FFA">
      <w:pPr>
        <w:pStyle w:val="ListParagraph"/>
        <w:numPr>
          <w:ilvl w:val="3"/>
          <w:numId w:val="6"/>
        </w:numPr>
        <w:rPr>
          <w:rFonts w:ascii="MS Reference Sans Serif" w:hAnsi="MS Reference Sans Serif"/>
        </w:rPr>
      </w:pPr>
      <w:r w:rsidRPr="00A26FFA">
        <w:rPr>
          <w:rFonts w:ascii="MS Reference Sans Serif" w:hAnsi="MS Reference Sans Serif"/>
        </w:rPr>
        <w:t xml:space="preserve">Net </w:t>
      </w:r>
      <w:proofErr w:type="spellStart"/>
      <w:r w:rsidRPr="00A26FFA">
        <w:rPr>
          <w:rFonts w:ascii="MS Reference Sans Serif" w:hAnsi="MS Reference Sans Serif"/>
        </w:rPr>
        <w:t>mouvement</w:t>
      </w:r>
      <w:proofErr w:type="spellEnd"/>
      <w:r w:rsidRPr="00A26FFA">
        <w:rPr>
          <w:rFonts w:ascii="MS Reference Sans Serif" w:hAnsi="MS Reference Sans Serif"/>
        </w:rPr>
        <w:t xml:space="preserve"> NH</w:t>
      </w:r>
      <w:r w:rsidRPr="00A26FFA">
        <w:rPr>
          <w:rFonts w:ascii="MS Reference Sans Serif" w:hAnsi="MS Reference Sans Serif"/>
          <w:vertAlign w:val="subscript"/>
        </w:rPr>
        <w:t>3</w:t>
      </w:r>
      <w:r w:rsidRPr="00A26FFA">
        <w:rPr>
          <w:rFonts w:ascii="MS Reference Sans Serif" w:hAnsi="MS Reference Sans Serif"/>
        </w:rPr>
        <w:t xml:space="preserve"> from blood into lumen</w:t>
      </w:r>
    </w:p>
    <w:p w:rsidR="00A26FFA" w:rsidRPr="00A26FFA" w:rsidRDefault="00A26FFA" w:rsidP="00A26FFA">
      <w:pPr>
        <w:pStyle w:val="ListParagraph"/>
        <w:numPr>
          <w:ilvl w:val="0"/>
          <w:numId w:val="6"/>
        </w:numPr>
        <w:rPr>
          <w:rFonts w:ascii="MS Reference Sans Serif" w:hAnsi="MS Reference Sans Serif"/>
        </w:rPr>
      </w:pPr>
      <w:r>
        <w:rPr>
          <w:rFonts w:ascii="MS Reference Sans Serif" w:hAnsi="MS Reference Sans Serif"/>
        </w:rPr>
        <w:t>Side effects:</w:t>
      </w:r>
      <w:r w:rsidRPr="00A26FFA">
        <w:rPr>
          <w:rFonts w:ascii="Verdana" w:eastAsiaTheme="minorHAnsi" w:hAnsi="Verdana" w:cs="Verdana"/>
          <w:sz w:val="26"/>
          <w:szCs w:val="26"/>
          <w:lang w:bidi="ar-SA"/>
        </w:rPr>
        <w:t xml:space="preserve"> </w:t>
      </w:r>
      <w:r>
        <w:rPr>
          <w:rFonts w:ascii="Verdana" w:eastAsiaTheme="minorHAnsi" w:hAnsi="Verdana" w:cs="Verdana"/>
          <w:sz w:val="26"/>
          <w:szCs w:val="26"/>
          <w:lang w:bidi="ar-SA"/>
        </w:rPr>
        <w:t xml:space="preserve">Symptoms of flatulence, gastric distention, cramping, etc. are not uncommon early in therapy, but generally abate with time. Diarrhea and dehydration are symptoms of </w:t>
      </w:r>
      <w:proofErr w:type="spellStart"/>
      <w:r>
        <w:rPr>
          <w:rFonts w:ascii="Verdana" w:eastAsiaTheme="minorHAnsi" w:hAnsi="Verdana" w:cs="Verdana"/>
          <w:sz w:val="26"/>
          <w:szCs w:val="26"/>
          <w:lang w:bidi="ar-SA"/>
        </w:rPr>
        <w:t>overdosage</w:t>
      </w:r>
      <w:proofErr w:type="spellEnd"/>
      <w:r>
        <w:rPr>
          <w:rFonts w:ascii="Verdana" w:eastAsiaTheme="minorHAnsi" w:hAnsi="Verdana" w:cs="Verdana"/>
          <w:sz w:val="26"/>
          <w:szCs w:val="26"/>
          <w:lang w:bidi="ar-SA"/>
        </w:rPr>
        <w:t>.</w:t>
      </w:r>
    </w:p>
    <w:p w:rsidR="00A26FFA" w:rsidRPr="00A26FFA" w:rsidRDefault="00A26FFA" w:rsidP="00A26FFA">
      <w:pPr>
        <w:pStyle w:val="ListParagraph"/>
        <w:numPr>
          <w:ilvl w:val="0"/>
          <w:numId w:val="6"/>
        </w:numPr>
        <w:rPr>
          <w:rFonts w:ascii="MS Reference Sans Serif" w:hAnsi="MS Reference Sans Serif"/>
        </w:rPr>
      </w:pPr>
      <w:r>
        <w:rPr>
          <w:rFonts w:ascii="Verdana" w:eastAsiaTheme="minorHAnsi" w:hAnsi="Verdana" w:cs="Verdana"/>
          <w:sz w:val="26"/>
          <w:szCs w:val="26"/>
          <w:lang w:bidi="ar-SA"/>
        </w:rPr>
        <w:t>Dose:</w:t>
      </w:r>
    </w:p>
    <w:p w:rsidR="00A26FFA" w:rsidRPr="00A26FFA" w:rsidRDefault="00A26FFA" w:rsidP="00A26FFA">
      <w:pPr>
        <w:pStyle w:val="ListParagraph"/>
        <w:numPr>
          <w:ilvl w:val="1"/>
          <w:numId w:val="6"/>
        </w:numPr>
        <w:rPr>
          <w:rFonts w:ascii="MS Reference Sans Serif" w:hAnsi="MS Reference Sans Serif"/>
        </w:rPr>
      </w:pPr>
      <w:r>
        <w:rPr>
          <w:rFonts w:ascii="Verdana" w:eastAsiaTheme="minorHAnsi" w:hAnsi="Verdana" w:cs="Verdana"/>
          <w:sz w:val="26"/>
          <w:szCs w:val="26"/>
          <w:lang w:bidi="ar-SA"/>
        </w:rPr>
        <w:t xml:space="preserve">Dogs: 5-15 ml PO </w:t>
      </w:r>
      <w:proofErr w:type="spellStart"/>
      <w:r>
        <w:rPr>
          <w:rFonts w:ascii="Verdana" w:eastAsiaTheme="minorHAnsi" w:hAnsi="Verdana" w:cs="Verdana"/>
          <w:i/>
          <w:iCs/>
          <w:sz w:val="26"/>
          <w:szCs w:val="26"/>
          <w:lang w:bidi="ar-SA"/>
        </w:rPr>
        <w:t>tid</w:t>
      </w:r>
      <w:proofErr w:type="spellEnd"/>
      <w:r>
        <w:rPr>
          <w:rFonts w:ascii="Verdana" w:eastAsiaTheme="minorHAnsi" w:hAnsi="Verdana" w:cs="Verdana"/>
          <w:sz w:val="26"/>
          <w:szCs w:val="26"/>
          <w:lang w:bidi="ar-SA"/>
        </w:rPr>
        <w:t xml:space="preserve">; adjust dose to induce 2-3 soft stools per day. </w:t>
      </w:r>
    </w:p>
    <w:p w:rsidR="00222370" w:rsidRPr="00A26FFA" w:rsidRDefault="00A26FFA" w:rsidP="00A26FFA">
      <w:pPr>
        <w:pStyle w:val="ListParagraph"/>
        <w:numPr>
          <w:ilvl w:val="1"/>
          <w:numId w:val="6"/>
        </w:numPr>
        <w:rPr>
          <w:rFonts w:ascii="MS Reference Sans Serif" w:hAnsi="MS Reference Sans Serif"/>
        </w:rPr>
      </w:pPr>
      <w:r>
        <w:rPr>
          <w:rFonts w:ascii="Verdana" w:eastAsiaTheme="minorHAnsi" w:hAnsi="Verdana" w:cs="Verdana"/>
          <w:sz w:val="26"/>
          <w:szCs w:val="26"/>
          <w:lang w:bidi="ar-SA"/>
        </w:rPr>
        <w:t>Cats:</w:t>
      </w:r>
      <w:r w:rsidRPr="00A26FFA">
        <w:rPr>
          <w:rFonts w:ascii="Verdana" w:eastAsiaTheme="minorHAnsi" w:hAnsi="Verdana" w:cs="Verdana"/>
          <w:sz w:val="26"/>
          <w:szCs w:val="26"/>
          <w:lang w:bidi="ar-SA"/>
        </w:rPr>
        <w:t xml:space="preserve"> </w:t>
      </w:r>
      <w:r>
        <w:rPr>
          <w:rFonts w:ascii="Verdana" w:eastAsiaTheme="minorHAnsi" w:hAnsi="Verdana" w:cs="Verdana"/>
          <w:sz w:val="26"/>
          <w:szCs w:val="26"/>
          <w:lang w:bidi="ar-SA"/>
        </w:rPr>
        <w:t>0.25-1 ml PO; individualize dosage until semi-formed stools are produced</w:t>
      </w:r>
    </w:p>
    <w:p w:rsidR="00222370" w:rsidRPr="00A5345D" w:rsidRDefault="00222370" w:rsidP="00222370">
      <w:pPr>
        <w:rPr>
          <w:rFonts w:ascii="MS Reference Sans Serif" w:hAnsi="MS Reference Sans Serif"/>
        </w:rPr>
      </w:pPr>
    </w:p>
    <w:p w:rsidR="00A26FFA" w:rsidRDefault="00222370" w:rsidP="00222370">
      <w:pPr>
        <w:rPr>
          <w:rFonts w:ascii="MS Reference Sans Serif" w:eastAsia="新細明體" w:hAnsi="新細明體" w:cs="新細明體"/>
        </w:rPr>
      </w:pPr>
      <w:r w:rsidRPr="00A5345D">
        <w:rPr>
          <w:rFonts w:ascii="MS Reference Sans Serif" w:eastAsia="新細明體" w:hAnsi="新細明體" w:cs="新細明體"/>
        </w:rPr>
        <w:t></w:t>
      </w:r>
    </w:p>
    <w:p w:rsidR="00A26FFA" w:rsidRPr="00532BAF" w:rsidRDefault="00A26FFA" w:rsidP="00222370">
      <w:pPr>
        <w:rPr>
          <w:rFonts w:ascii="MS Reference Sans Serif" w:eastAsia="新細明體" w:hAnsi="新細明體" w:cs="新細明體"/>
          <w:b/>
          <w:u w:val="single"/>
        </w:rPr>
      </w:pPr>
      <w:r w:rsidRPr="00532BAF">
        <w:rPr>
          <w:rFonts w:ascii="MS Reference Sans Serif" w:eastAsia="新細明體" w:hAnsi="新細明體" w:cs="新細明體"/>
          <w:b/>
          <w:u w:val="single"/>
        </w:rPr>
        <w:t>Zinc sulfates:</w:t>
      </w:r>
    </w:p>
    <w:p w:rsidR="00A26FFA" w:rsidRDefault="00A26FFA" w:rsidP="00A26FFA">
      <w:pPr>
        <w:pStyle w:val="ListParagraph"/>
        <w:numPr>
          <w:ilvl w:val="0"/>
          <w:numId w:val="7"/>
        </w:numPr>
        <w:rPr>
          <w:rFonts w:ascii="MS Reference Sans Serif" w:hAnsi="MS Reference Sans Serif"/>
        </w:rPr>
      </w:pPr>
      <w:r>
        <w:rPr>
          <w:rFonts w:ascii="MS Reference Sans Serif" w:hAnsi="MS Reference Sans Serif"/>
        </w:rPr>
        <w:t>Mechanism of actions:</w:t>
      </w:r>
    </w:p>
    <w:p w:rsidR="00A26FFA" w:rsidRPr="00A26FFA" w:rsidRDefault="00A26FFA" w:rsidP="00A26FFA">
      <w:pPr>
        <w:pStyle w:val="ListParagraph"/>
        <w:numPr>
          <w:ilvl w:val="1"/>
          <w:numId w:val="7"/>
        </w:numPr>
        <w:rPr>
          <w:rFonts w:ascii="MS Reference Sans Serif" w:hAnsi="MS Reference Sans Serif"/>
        </w:rPr>
      </w:pPr>
      <w:r w:rsidRPr="00A26FFA">
        <w:rPr>
          <w:rFonts w:ascii="Verdana" w:eastAsiaTheme="minorHAnsi" w:hAnsi="Verdana" w:cs="Verdana"/>
          <w:sz w:val="26"/>
          <w:szCs w:val="26"/>
          <w:lang w:bidi="ar-SA"/>
        </w:rPr>
        <w:t xml:space="preserve">Enzyme systems that require zinc include alkaline </w:t>
      </w:r>
      <w:proofErr w:type="spellStart"/>
      <w:r w:rsidRPr="00A26FFA">
        <w:rPr>
          <w:rFonts w:ascii="Verdana" w:eastAsiaTheme="minorHAnsi" w:hAnsi="Verdana" w:cs="Verdana"/>
          <w:sz w:val="26"/>
          <w:szCs w:val="26"/>
          <w:lang w:bidi="ar-SA"/>
        </w:rPr>
        <w:t>phosphatase</w:t>
      </w:r>
      <w:proofErr w:type="spellEnd"/>
      <w:r w:rsidRPr="00A26FFA">
        <w:rPr>
          <w:rFonts w:ascii="Verdana" w:eastAsiaTheme="minorHAnsi" w:hAnsi="Verdana" w:cs="Verdana"/>
          <w:sz w:val="26"/>
          <w:szCs w:val="26"/>
          <w:lang w:bidi="ar-SA"/>
        </w:rPr>
        <w:t xml:space="preserve">, alcohol </w:t>
      </w:r>
      <w:proofErr w:type="spellStart"/>
      <w:r w:rsidRPr="00A26FFA">
        <w:rPr>
          <w:rFonts w:ascii="Verdana" w:eastAsiaTheme="minorHAnsi" w:hAnsi="Verdana" w:cs="Verdana"/>
          <w:sz w:val="26"/>
          <w:szCs w:val="26"/>
          <w:lang w:bidi="ar-SA"/>
        </w:rPr>
        <w:t>dehydrogenase</w:t>
      </w:r>
      <w:proofErr w:type="spellEnd"/>
      <w:r w:rsidRPr="00A26FFA">
        <w:rPr>
          <w:rFonts w:ascii="Verdana" w:eastAsiaTheme="minorHAnsi" w:hAnsi="Verdana" w:cs="Verdana"/>
          <w:sz w:val="26"/>
          <w:szCs w:val="26"/>
          <w:lang w:bidi="ar-SA"/>
        </w:rPr>
        <w:t xml:space="preserve">, carbonic </w:t>
      </w:r>
      <w:proofErr w:type="spellStart"/>
      <w:r w:rsidRPr="00A26FFA">
        <w:rPr>
          <w:rFonts w:ascii="Verdana" w:eastAsiaTheme="minorHAnsi" w:hAnsi="Verdana" w:cs="Verdana"/>
          <w:sz w:val="26"/>
          <w:szCs w:val="26"/>
          <w:lang w:bidi="ar-SA"/>
        </w:rPr>
        <w:t>anhydrase</w:t>
      </w:r>
      <w:proofErr w:type="spellEnd"/>
      <w:r w:rsidRPr="00A26FFA">
        <w:rPr>
          <w:rFonts w:ascii="Verdana" w:eastAsiaTheme="minorHAnsi" w:hAnsi="Verdana" w:cs="Verdana"/>
          <w:sz w:val="26"/>
          <w:szCs w:val="26"/>
          <w:lang w:bidi="ar-SA"/>
        </w:rPr>
        <w:t xml:space="preserve"> and RNA polymerase. </w:t>
      </w:r>
      <w:r w:rsidRPr="00A26FFA">
        <w:rPr>
          <w:rFonts w:ascii="MS Reference Sans Serif" w:hAnsi="MS Reference Sans Serif"/>
        </w:rPr>
        <w:t>2/</w:t>
      </w:r>
      <w:proofErr w:type="gramStart"/>
      <w:r w:rsidRPr="00A26FFA">
        <w:rPr>
          <w:rFonts w:ascii="MS Reference Sans Serif" w:hAnsi="MS Reference Sans Serif"/>
        </w:rPr>
        <w:t>5  enzymes</w:t>
      </w:r>
      <w:proofErr w:type="gramEnd"/>
      <w:r w:rsidRPr="00A26FFA">
        <w:rPr>
          <w:rFonts w:ascii="MS Reference Sans Serif" w:hAnsi="MS Reference Sans Serif"/>
        </w:rPr>
        <w:t xml:space="preserve"> in urea cycle</w:t>
      </w:r>
    </w:p>
    <w:p w:rsidR="00A26FFA" w:rsidRDefault="00A26FFA" w:rsidP="00A26FFA">
      <w:pPr>
        <w:pStyle w:val="ListParagraph"/>
        <w:widowControl w:val="0"/>
        <w:numPr>
          <w:ilvl w:val="1"/>
          <w:numId w:val="7"/>
        </w:numPr>
        <w:autoSpaceDE w:val="0"/>
        <w:autoSpaceDN w:val="0"/>
        <w:adjustRightInd w:val="0"/>
        <w:spacing w:after="200"/>
        <w:rPr>
          <w:rFonts w:ascii="Verdana" w:eastAsiaTheme="minorHAnsi" w:hAnsi="Verdana" w:cs="Verdana"/>
          <w:sz w:val="26"/>
          <w:szCs w:val="26"/>
          <w:lang w:bidi="ar-SA"/>
        </w:rPr>
      </w:pPr>
      <w:proofErr w:type="gramStart"/>
      <w:r w:rsidRPr="00A26FFA">
        <w:rPr>
          <w:rFonts w:ascii="Verdana" w:eastAsiaTheme="minorHAnsi" w:hAnsi="Verdana" w:cs="Verdana"/>
          <w:sz w:val="26"/>
          <w:szCs w:val="26"/>
          <w:lang w:bidi="ar-SA"/>
        </w:rPr>
        <w:t>structural</w:t>
      </w:r>
      <w:proofErr w:type="gramEnd"/>
      <w:r w:rsidRPr="00A26FFA">
        <w:rPr>
          <w:rFonts w:ascii="Verdana" w:eastAsiaTheme="minorHAnsi" w:hAnsi="Verdana" w:cs="Verdana"/>
          <w:sz w:val="26"/>
          <w:szCs w:val="26"/>
          <w:lang w:bidi="ar-SA"/>
        </w:rPr>
        <w:t xml:space="preserve"> integrity of cell membranes and nucleic acids. </w:t>
      </w:r>
    </w:p>
    <w:p w:rsidR="00A26FFA" w:rsidRPr="00A26FFA" w:rsidRDefault="00A26FFA" w:rsidP="00A26FFA">
      <w:pPr>
        <w:pStyle w:val="ListParagraph"/>
        <w:widowControl w:val="0"/>
        <w:numPr>
          <w:ilvl w:val="1"/>
          <w:numId w:val="7"/>
        </w:numPr>
        <w:autoSpaceDE w:val="0"/>
        <w:autoSpaceDN w:val="0"/>
        <w:adjustRightInd w:val="0"/>
        <w:spacing w:after="200"/>
        <w:rPr>
          <w:rFonts w:ascii="Verdana" w:eastAsiaTheme="minorHAnsi" w:hAnsi="Verdana" w:cs="Verdana"/>
          <w:sz w:val="26"/>
          <w:szCs w:val="26"/>
          <w:lang w:bidi="ar-SA"/>
        </w:rPr>
      </w:pPr>
      <w:proofErr w:type="gramStart"/>
      <w:r w:rsidRPr="00A26FFA">
        <w:rPr>
          <w:rFonts w:ascii="Verdana" w:eastAsiaTheme="minorHAnsi" w:hAnsi="Verdana" w:cs="Verdana"/>
          <w:sz w:val="26"/>
          <w:szCs w:val="26"/>
          <w:lang w:bidi="ar-SA"/>
        </w:rPr>
        <w:t>physiological</w:t>
      </w:r>
      <w:proofErr w:type="gramEnd"/>
      <w:r w:rsidRPr="00A26FFA">
        <w:rPr>
          <w:rFonts w:ascii="Verdana" w:eastAsiaTheme="minorHAnsi" w:hAnsi="Verdana" w:cs="Verdana"/>
          <w:sz w:val="26"/>
          <w:szCs w:val="26"/>
          <w:lang w:bidi="ar-SA"/>
        </w:rPr>
        <w:t xml:space="preserve"> processes include sexual maturation and reproduction, cell growth and division, vision, night vision, wound healing, immune response, and taste acuity.</w:t>
      </w:r>
    </w:p>
    <w:p w:rsidR="00532BAF" w:rsidRDefault="00A26FFA" w:rsidP="00A26FFA">
      <w:pPr>
        <w:pStyle w:val="ListParagraph"/>
        <w:numPr>
          <w:ilvl w:val="0"/>
          <w:numId w:val="7"/>
        </w:numPr>
        <w:rPr>
          <w:rFonts w:ascii="MS Reference Sans Serif" w:hAnsi="MS Reference Sans Serif"/>
        </w:rPr>
      </w:pPr>
      <w:r>
        <w:rPr>
          <w:rFonts w:ascii="MS Reference Sans Serif" w:hAnsi="MS Reference Sans Serif"/>
        </w:rPr>
        <w:t>Indication:</w:t>
      </w:r>
    </w:p>
    <w:p w:rsidR="00532BAF" w:rsidRPr="00532BAF" w:rsidRDefault="00532BAF" w:rsidP="00532BAF">
      <w:pPr>
        <w:pStyle w:val="ListParagraph"/>
        <w:numPr>
          <w:ilvl w:val="1"/>
          <w:numId w:val="7"/>
        </w:numPr>
        <w:rPr>
          <w:rFonts w:ascii="MS Reference Sans Serif" w:hAnsi="MS Reference Sans Serif"/>
        </w:rPr>
      </w:pPr>
      <w:r w:rsidRPr="00532BAF">
        <w:rPr>
          <w:rFonts w:ascii="Verdana" w:eastAsiaTheme="minorHAnsi" w:hAnsi="Verdana" w:cs="Verdana"/>
          <w:sz w:val="26"/>
          <w:szCs w:val="26"/>
          <w:lang w:bidi="ar-SA"/>
        </w:rPr>
        <w:t xml:space="preserve"> </w:t>
      </w:r>
      <w:proofErr w:type="gramStart"/>
      <w:r>
        <w:rPr>
          <w:rFonts w:ascii="Verdana" w:eastAsiaTheme="minorHAnsi" w:hAnsi="Verdana" w:cs="Verdana"/>
          <w:sz w:val="26"/>
          <w:szCs w:val="26"/>
          <w:lang w:bidi="ar-SA"/>
        </w:rPr>
        <w:t>zinc</w:t>
      </w:r>
      <w:proofErr w:type="gramEnd"/>
      <w:r>
        <w:rPr>
          <w:rFonts w:ascii="Verdana" w:eastAsiaTheme="minorHAnsi" w:hAnsi="Verdana" w:cs="Verdana"/>
          <w:sz w:val="26"/>
          <w:szCs w:val="26"/>
          <w:lang w:bidi="ar-SA"/>
        </w:rPr>
        <w:t xml:space="preserve"> deficiency</w:t>
      </w:r>
    </w:p>
    <w:p w:rsidR="00532BAF" w:rsidRPr="00532BAF" w:rsidRDefault="00532BAF" w:rsidP="00532BAF">
      <w:pPr>
        <w:pStyle w:val="ListParagraph"/>
        <w:numPr>
          <w:ilvl w:val="1"/>
          <w:numId w:val="7"/>
        </w:numPr>
        <w:rPr>
          <w:rFonts w:ascii="MS Reference Sans Serif" w:hAnsi="MS Reference Sans Serif"/>
        </w:rPr>
      </w:pPr>
      <w:r>
        <w:rPr>
          <w:rFonts w:ascii="Verdana" w:eastAsiaTheme="minorHAnsi" w:hAnsi="Verdana" w:cs="Verdana"/>
          <w:sz w:val="26"/>
          <w:szCs w:val="26"/>
          <w:lang w:bidi="ar-SA"/>
        </w:rPr>
        <w:t xml:space="preserve"> </w:t>
      </w:r>
      <w:proofErr w:type="gramStart"/>
      <w:r>
        <w:rPr>
          <w:rFonts w:ascii="Verdana" w:eastAsiaTheme="minorHAnsi" w:hAnsi="Verdana" w:cs="Verdana"/>
          <w:sz w:val="26"/>
          <w:szCs w:val="26"/>
          <w:lang w:bidi="ar-SA"/>
        </w:rPr>
        <w:t>reduce</w:t>
      </w:r>
      <w:proofErr w:type="gramEnd"/>
      <w:r>
        <w:rPr>
          <w:rFonts w:ascii="Verdana" w:eastAsiaTheme="minorHAnsi" w:hAnsi="Verdana" w:cs="Verdana"/>
          <w:sz w:val="26"/>
          <w:szCs w:val="26"/>
          <w:lang w:bidi="ar-SA"/>
        </w:rPr>
        <w:t xml:space="preserve"> copper toxicity in susceptible dog breeds (</w:t>
      </w:r>
      <w:proofErr w:type="spellStart"/>
      <w:r>
        <w:rPr>
          <w:rFonts w:ascii="Verdana" w:eastAsiaTheme="minorHAnsi" w:hAnsi="Verdana" w:cs="Verdana"/>
          <w:sz w:val="26"/>
          <w:szCs w:val="26"/>
          <w:lang w:bidi="ar-SA"/>
        </w:rPr>
        <w:t>Bedlington</w:t>
      </w:r>
      <w:proofErr w:type="spellEnd"/>
      <w:r>
        <w:rPr>
          <w:rFonts w:ascii="Verdana" w:eastAsiaTheme="minorHAnsi" w:hAnsi="Verdana" w:cs="Verdana"/>
          <w:sz w:val="26"/>
          <w:szCs w:val="26"/>
          <w:lang w:bidi="ar-SA"/>
        </w:rPr>
        <w:t xml:space="preserve"> Terriers, West Highland White Terriers) with hepatic copper </w:t>
      </w:r>
      <w:proofErr w:type="spellStart"/>
      <w:r>
        <w:rPr>
          <w:rFonts w:ascii="Verdana" w:eastAsiaTheme="minorHAnsi" w:hAnsi="Verdana" w:cs="Verdana"/>
          <w:sz w:val="26"/>
          <w:szCs w:val="26"/>
          <w:lang w:bidi="ar-SA"/>
        </w:rPr>
        <w:t>toxicosis</w:t>
      </w:r>
    </w:p>
    <w:p w:rsidR="00532BAF" w:rsidRPr="00532BAF" w:rsidRDefault="00532BAF" w:rsidP="00532BAF">
      <w:pPr>
        <w:pStyle w:val="ListParagraph"/>
        <w:numPr>
          <w:ilvl w:val="1"/>
          <w:numId w:val="7"/>
        </w:numPr>
        <w:rPr>
          <w:rFonts w:ascii="MS Reference Sans Serif" w:hAnsi="MS Reference Sans Serif"/>
        </w:rPr>
      </w:pPr>
      <w:proofErr w:type="spellEnd"/>
      <w:r>
        <w:rPr>
          <w:rFonts w:ascii="Verdana" w:eastAsiaTheme="minorHAnsi" w:hAnsi="Verdana" w:cs="Verdana"/>
          <w:sz w:val="26"/>
          <w:szCs w:val="26"/>
          <w:lang w:bidi="ar-SA"/>
        </w:rPr>
        <w:t xml:space="preserve"> </w:t>
      </w:r>
      <w:proofErr w:type="gramStart"/>
      <w:r>
        <w:rPr>
          <w:rFonts w:ascii="Verdana" w:eastAsiaTheme="minorHAnsi" w:hAnsi="Verdana" w:cs="Verdana"/>
          <w:sz w:val="26"/>
          <w:szCs w:val="26"/>
          <w:lang w:bidi="ar-SA"/>
        </w:rPr>
        <w:t>hepatic</w:t>
      </w:r>
      <w:proofErr w:type="gramEnd"/>
      <w:r>
        <w:rPr>
          <w:rFonts w:ascii="Verdana" w:eastAsiaTheme="minorHAnsi" w:hAnsi="Verdana" w:cs="Verdana"/>
          <w:sz w:val="26"/>
          <w:szCs w:val="26"/>
          <w:lang w:bidi="ar-SA"/>
        </w:rPr>
        <w:t xml:space="preserve"> fibrosis in the dog.</w:t>
      </w:r>
    </w:p>
    <w:p w:rsidR="00532BAF" w:rsidRPr="00532BAF" w:rsidRDefault="00532BAF" w:rsidP="00532BAF">
      <w:pPr>
        <w:pStyle w:val="ListParagraph"/>
        <w:numPr>
          <w:ilvl w:val="1"/>
          <w:numId w:val="7"/>
        </w:numPr>
        <w:rPr>
          <w:rFonts w:ascii="MS Reference Sans Serif" w:hAnsi="MS Reference Sans Serif"/>
        </w:rPr>
      </w:pPr>
      <w:r>
        <w:rPr>
          <w:rFonts w:ascii="Verdana" w:eastAsiaTheme="minorHAnsi" w:hAnsi="Verdana" w:cs="Verdana"/>
          <w:sz w:val="26"/>
          <w:szCs w:val="26"/>
          <w:lang w:bidi="ar-SA"/>
        </w:rPr>
        <w:t xml:space="preserve"> Has astringent and antiseptic activity topically</w:t>
      </w:r>
    </w:p>
    <w:p w:rsidR="00532BAF" w:rsidRPr="00532BAF" w:rsidRDefault="00532BAF" w:rsidP="00532BAF">
      <w:pPr>
        <w:pStyle w:val="ListParagraph"/>
        <w:numPr>
          <w:ilvl w:val="0"/>
          <w:numId w:val="7"/>
        </w:numPr>
        <w:rPr>
          <w:rFonts w:ascii="MS Reference Sans Serif" w:hAnsi="MS Reference Sans Serif"/>
        </w:rPr>
      </w:pPr>
      <w:r>
        <w:rPr>
          <w:rFonts w:ascii="Verdana" w:eastAsiaTheme="minorHAnsi" w:hAnsi="Verdana" w:cs="Verdana"/>
          <w:sz w:val="26"/>
          <w:szCs w:val="26"/>
          <w:lang w:bidi="ar-SA"/>
        </w:rPr>
        <w:t xml:space="preserve">Side effects: overdoses of </w:t>
      </w:r>
      <w:proofErr w:type="gramStart"/>
      <w:r>
        <w:rPr>
          <w:rFonts w:ascii="Verdana" w:eastAsiaTheme="minorHAnsi" w:hAnsi="Verdana" w:cs="Verdana"/>
          <w:sz w:val="26"/>
          <w:szCs w:val="26"/>
          <w:lang w:bidi="ar-SA"/>
        </w:rPr>
        <w:t>zinc,</w:t>
      </w:r>
      <w:proofErr w:type="gramEnd"/>
      <w:r>
        <w:rPr>
          <w:rFonts w:ascii="Verdana" w:eastAsiaTheme="minorHAnsi" w:hAnsi="Verdana" w:cs="Verdana"/>
          <w:sz w:val="26"/>
          <w:szCs w:val="26"/>
          <w:lang w:bidi="ar-SA"/>
        </w:rPr>
        <w:t xml:space="preserve"> include hemolytic anemia, hypotension, jaundice, vomiting and pulmonary edema. Suggestions for treatment of overdoses of oral </w:t>
      </w:r>
      <w:proofErr w:type="gramStart"/>
      <w:r>
        <w:rPr>
          <w:rFonts w:ascii="Verdana" w:eastAsiaTheme="minorHAnsi" w:hAnsi="Verdana" w:cs="Verdana"/>
          <w:sz w:val="26"/>
          <w:szCs w:val="26"/>
          <w:lang w:bidi="ar-SA"/>
        </w:rPr>
        <w:t>zinc,</w:t>
      </w:r>
      <w:proofErr w:type="gramEnd"/>
      <w:r>
        <w:rPr>
          <w:rFonts w:ascii="Verdana" w:eastAsiaTheme="minorHAnsi" w:hAnsi="Verdana" w:cs="Verdana"/>
          <w:sz w:val="26"/>
          <w:szCs w:val="26"/>
          <w:lang w:bidi="ar-SA"/>
        </w:rPr>
        <w:t xml:space="preserve"> include removing the source, dilution with milk or water and </w:t>
      </w:r>
      <w:proofErr w:type="spellStart"/>
      <w:r>
        <w:rPr>
          <w:rFonts w:ascii="Verdana" w:eastAsiaTheme="minorHAnsi" w:hAnsi="Verdana" w:cs="Verdana"/>
          <w:sz w:val="26"/>
          <w:szCs w:val="26"/>
          <w:lang w:bidi="ar-SA"/>
        </w:rPr>
        <w:t>chelation</w:t>
      </w:r>
      <w:proofErr w:type="spellEnd"/>
      <w:r>
        <w:rPr>
          <w:rFonts w:ascii="Verdana" w:eastAsiaTheme="minorHAnsi" w:hAnsi="Verdana" w:cs="Verdana"/>
          <w:sz w:val="26"/>
          <w:szCs w:val="26"/>
          <w:lang w:bidi="ar-SA"/>
        </w:rPr>
        <w:t xml:space="preserve"> therapy using </w:t>
      </w:r>
      <w:proofErr w:type="spellStart"/>
      <w:r>
        <w:rPr>
          <w:rFonts w:ascii="Verdana" w:eastAsiaTheme="minorHAnsi" w:hAnsi="Verdana" w:cs="Verdana"/>
          <w:sz w:val="26"/>
          <w:szCs w:val="26"/>
          <w:lang w:bidi="ar-SA"/>
        </w:rPr>
        <w:t>edetate</w:t>
      </w:r>
      <w:proofErr w:type="spellEnd"/>
      <w:r>
        <w:rPr>
          <w:rFonts w:ascii="Verdana" w:eastAsiaTheme="minorHAnsi" w:hAnsi="Verdana" w:cs="Verdana"/>
          <w:sz w:val="26"/>
          <w:szCs w:val="26"/>
          <w:lang w:bidi="ar-SA"/>
        </w:rPr>
        <w:t xml:space="preserve"> calcium disodium (Calcium EDTA).</w:t>
      </w:r>
    </w:p>
    <w:p w:rsidR="00532BAF" w:rsidRPr="00532BAF" w:rsidRDefault="00532BAF" w:rsidP="00532BAF">
      <w:pPr>
        <w:pStyle w:val="ListParagraph"/>
        <w:numPr>
          <w:ilvl w:val="0"/>
          <w:numId w:val="7"/>
        </w:numPr>
        <w:rPr>
          <w:rFonts w:ascii="MS Reference Sans Serif" w:hAnsi="MS Reference Sans Serif"/>
        </w:rPr>
      </w:pPr>
      <w:r>
        <w:rPr>
          <w:rFonts w:ascii="Verdana" w:eastAsiaTheme="minorHAnsi" w:hAnsi="Verdana" w:cs="Verdana"/>
          <w:sz w:val="26"/>
          <w:szCs w:val="26"/>
          <w:lang w:bidi="ar-SA"/>
        </w:rPr>
        <w:t xml:space="preserve">Dose: 5-10 mg/kg </w:t>
      </w:r>
      <w:r>
        <w:rPr>
          <w:rFonts w:ascii="Verdana" w:eastAsiaTheme="minorHAnsi" w:hAnsi="Verdana" w:cs="Verdana"/>
          <w:b/>
          <w:bCs/>
          <w:sz w:val="26"/>
          <w:szCs w:val="26"/>
          <w:lang w:bidi="ar-SA"/>
        </w:rPr>
        <w:t>elemental</w:t>
      </w:r>
      <w:r>
        <w:rPr>
          <w:rFonts w:ascii="Verdana" w:eastAsiaTheme="minorHAnsi" w:hAnsi="Verdana" w:cs="Verdana"/>
          <w:sz w:val="26"/>
          <w:szCs w:val="26"/>
          <w:lang w:bidi="ar-SA"/>
        </w:rPr>
        <w:t xml:space="preserve"> zinc q12h</w:t>
      </w:r>
    </w:p>
    <w:p w:rsidR="00222370" w:rsidRPr="00532BAF" w:rsidRDefault="00222370" w:rsidP="00532BAF">
      <w:pPr>
        <w:rPr>
          <w:rFonts w:ascii="MS Reference Sans Serif" w:hAnsi="MS Reference Sans Serif"/>
        </w:rPr>
      </w:pPr>
    </w:p>
    <w:p w:rsidR="00532BAF" w:rsidRDefault="00222370" w:rsidP="00222370">
      <w:pPr>
        <w:rPr>
          <w:rFonts w:ascii="MS Reference Sans Serif" w:hAnsi="MS Reference Sans Serif"/>
          <w:b/>
          <w:u w:val="single"/>
        </w:rPr>
      </w:pPr>
      <w:r w:rsidRPr="00532BAF">
        <w:rPr>
          <w:rFonts w:ascii="MS Reference Sans Serif" w:eastAsia="新細明體" w:hAnsi="新細明體" w:cs="新細明體"/>
        </w:rPr>
        <w:t></w:t>
      </w:r>
      <w:r w:rsidRPr="00532BAF">
        <w:rPr>
          <w:rFonts w:ascii="MS Reference Sans Serif" w:hAnsi="MS Reference Sans Serif"/>
          <w:b/>
          <w:u w:val="single"/>
        </w:rPr>
        <w:t>Vitamin K1</w:t>
      </w:r>
      <w:r w:rsidR="00532BAF">
        <w:rPr>
          <w:rFonts w:ascii="MS Reference Sans Serif" w:hAnsi="MS Reference Sans Serif"/>
          <w:b/>
          <w:u w:val="single"/>
        </w:rPr>
        <w:t>, Phytonadione.</w:t>
      </w:r>
    </w:p>
    <w:p w:rsidR="00532BAF" w:rsidRDefault="00532BAF" w:rsidP="00222370">
      <w:pPr>
        <w:rPr>
          <w:rFonts w:ascii="MS Reference Sans Serif" w:hAnsi="MS Reference Sans Serif"/>
          <w:b/>
          <w:u w:val="single"/>
        </w:rPr>
      </w:pPr>
    </w:p>
    <w:p w:rsidR="00532BAF" w:rsidRPr="00532BAF" w:rsidRDefault="00532BAF" w:rsidP="00532BAF">
      <w:pPr>
        <w:pStyle w:val="ListParagraph"/>
        <w:numPr>
          <w:ilvl w:val="0"/>
          <w:numId w:val="8"/>
        </w:numPr>
        <w:rPr>
          <w:rFonts w:ascii="MS Reference Sans Serif" w:hAnsi="MS Reference Sans Serif"/>
        </w:rPr>
      </w:pPr>
      <w:r>
        <w:rPr>
          <w:rFonts w:ascii="MS Reference Sans Serif" w:hAnsi="MS Reference Sans Serif"/>
        </w:rPr>
        <w:t>Mechanism of action:</w:t>
      </w:r>
      <w:r w:rsidRPr="00532BAF">
        <w:rPr>
          <w:rFonts w:ascii="Verdana" w:eastAsiaTheme="minorHAnsi" w:hAnsi="Verdana" w:cs="Verdana"/>
          <w:sz w:val="26"/>
          <w:szCs w:val="26"/>
          <w:lang w:bidi="ar-SA"/>
        </w:rPr>
        <w:t xml:space="preserve"> </w:t>
      </w:r>
    </w:p>
    <w:p w:rsidR="00532BAF" w:rsidRPr="00532BAF" w:rsidRDefault="00532BAF" w:rsidP="00532BAF">
      <w:pPr>
        <w:pStyle w:val="ListParagraph"/>
        <w:numPr>
          <w:ilvl w:val="1"/>
          <w:numId w:val="8"/>
        </w:numPr>
        <w:rPr>
          <w:rFonts w:ascii="MS Reference Sans Serif" w:hAnsi="MS Reference Sans Serif"/>
        </w:rPr>
      </w:pPr>
      <w:r>
        <w:rPr>
          <w:rFonts w:ascii="Verdana" w:eastAsiaTheme="minorHAnsi" w:hAnsi="Verdana" w:cs="Verdana"/>
          <w:sz w:val="26"/>
          <w:szCs w:val="26"/>
          <w:lang w:bidi="ar-SA"/>
        </w:rPr>
        <w:t xml:space="preserve"> Necessary for the synthesis of blood coagulation factors II, VII, IX, and X in the liver. </w:t>
      </w:r>
    </w:p>
    <w:p w:rsidR="00532BAF" w:rsidRPr="00532BAF" w:rsidRDefault="00532BAF" w:rsidP="00532BAF">
      <w:pPr>
        <w:pStyle w:val="ListParagraph"/>
        <w:numPr>
          <w:ilvl w:val="1"/>
          <w:numId w:val="8"/>
        </w:numPr>
        <w:rPr>
          <w:rFonts w:ascii="MS Reference Sans Serif" w:hAnsi="MS Reference Sans Serif"/>
        </w:rPr>
      </w:pPr>
      <w:r>
        <w:rPr>
          <w:rFonts w:ascii="Verdana" w:eastAsiaTheme="minorHAnsi" w:hAnsi="Verdana" w:cs="Verdana"/>
          <w:sz w:val="26"/>
          <w:szCs w:val="26"/>
          <w:lang w:bidi="ar-SA"/>
        </w:rPr>
        <w:t xml:space="preserve">Involved in the </w:t>
      </w:r>
      <w:proofErr w:type="spellStart"/>
      <w:r>
        <w:rPr>
          <w:rFonts w:ascii="Verdana" w:eastAsiaTheme="minorHAnsi" w:hAnsi="Verdana" w:cs="Verdana"/>
          <w:sz w:val="26"/>
          <w:szCs w:val="26"/>
          <w:lang w:bidi="ar-SA"/>
        </w:rPr>
        <w:t>carboxylation</w:t>
      </w:r>
      <w:proofErr w:type="spellEnd"/>
      <w:r>
        <w:rPr>
          <w:rFonts w:ascii="Verdana" w:eastAsiaTheme="minorHAnsi" w:hAnsi="Verdana" w:cs="Verdana"/>
          <w:sz w:val="26"/>
          <w:szCs w:val="26"/>
          <w:lang w:bidi="ar-SA"/>
        </w:rPr>
        <w:t xml:space="preserve"> of the inactive precursors of these factors to form active compounds.</w:t>
      </w:r>
    </w:p>
    <w:p w:rsidR="00532BAF" w:rsidRPr="00532BAF" w:rsidRDefault="00532BAF" w:rsidP="00532BAF">
      <w:pPr>
        <w:pStyle w:val="ListParagraph"/>
        <w:numPr>
          <w:ilvl w:val="0"/>
          <w:numId w:val="8"/>
        </w:numPr>
        <w:rPr>
          <w:rFonts w:ascii="MS Reference Sans Serif" w:hAnsi="MS Reference Sans Serif"/>
        </w:rPr>
      </w:pPr>
      <w:r>
        <w:rPr>
          <w:rFonts w:ascii="Verdana" w:eastAsiaTheme="minorHAnsi" w:hAnsi="Verdana" w:cs="Verdana"/>
          <w:sz w:val="26"/>
          <w:szCs w:val="26"/>
          <w:lang w:bidi="ar-SA"/>
        </w:rPr>
        <w:t>Side effects:</w:t>
      </w:r>
      <w:r w:rsidRPr="00532BAF">
        <w:rPr>
          <w:rFonts w:ascii="Verdana" w:eastAsiaTheme="minorHAnsi" w:hAnsi="Verdana" w:cs="Verdana"/>
          <w:sz w:val="26"/>
          <w:szCs w:val="26"/>
          <w:lang w:bidi="ar-SA"/>
        </w:rPr>
        <w:t xml:space="preserve"> </w:t>
      </w:r>
      <w:proofErr w:type="spellStart"/>
      <w:r>
        <w:rPr>
          <w:rFonts w:ascii="Verdana" w:eastAsiaTheme="minorHAnsi" w:hAnsi="Verdana" w:cs="Verdana"/>
          <w:sz w:val="26"/>
          <w:szCs w:val="26"/>
          <w:lang w:bidi="ar-SA"/>
        </w:rPr>
        <w:t>Anaphylactoid</w:t>
      </w:r>
      <w:proofErr w:type="spellEnd"/>
      <w:r>
        <w:rPr>
          <w:rFonts w:ascii="Verdana" w:eastAsiaTheme="minorHAnsi" w:hAnsi="Verdana" w:cs="Verdana"/>
          <w:sz w:val="26"/>
          <w:szCs w:val="26"/>
          <w:lang w:bidi="ar-SA"/>
        </w:rPr>
        <w:t xml:space="preserve"> reactions following IV administration, intramuscular </w:t>
      </w:r>
      <w:proofErr w:type="gramStart"/>
      <w:r>
        <w:rPr>
          <w:rFonts w:ascii="Verdana" w:eastAsiaTheme="minorHAnsi" w:hAnsi="Verdana" w:cs="Verdana"/>
          <w:sz w:val="26"/>
          <w:szCs w:val="26"/>
          <w:lang w:bidi="ar-SA"/>
        </w:rPr>
        <w:t>administration :acute</w:t>
      </w:r>
      <w:proofErr w:type="gramEnd"/>
      <w:r>
        <w:rPr>
          <w:rFonts w:ascii="Verdana" w:eastAsiaTheme="minorHAnsi" w:hAnsi="Verdana" w:cs="Verdana"/>
          <w:sz w:val="26"/>
          <w:szCs w:val="26"/>
          <w:lang w:bidi="ar-SA"/>
        </w:rPr>
        <w:t xml:space="preserve"> bleeding from the site of injection (if </w:t>
      </w:r>
      <w:proofErr w:type="spellStart"/>
      <w:r>
        <w:rPr>
          <w:rFonts w:ascii="Verdana" w:eastAsiaTheme="minorHAnsi" w:hAnsi="Verdana" w:cs="Verdana"/>
          <w:sz w:val="26"/>
          <w:szCs w:val="26"/>
          <w:lang w:bidi="ar-SA"/>
        </w:rPr>
        <w:t>rodenticide</w:t>
      </w:r>
      <w:proofErr w:type="spellEnd"/>
      <w:r>
        <w:rPr>
          <w:rFonts w:ascii="Verdana" w:eastAsiaTheme="minorHAnsi" w:hAnsi="Verdana" w:cs="Verdana"/>
          <w:sz w:val="26"/>
          <w:szCs w:val="26"/>
          <w:lang w:bidi="ar-SA"/>
        </w:rPr>
        <w:t>).</w:t>
      </w:r>
    </w:p>
    <w:p w:rsidR="00222370" w:rsidRPr="00532BAF" w:rsidRDefault="00222370" w:rsidP="00222370">
      <w:pPr>
        <w:rPr>
          <w:rFonts w:ascii="MS Reference Sans Serif" w:hAnsi="MS Reference Sans Serif"/>
        </w:rPr>
      </w:pPr>
    </w:p>
    <w:p w:rsidR="00532BAF" w:rsidRDefault="00532BAF" w:rsidP="00532BAF">
      <w:pPr>
        <w:pStyle w:val="ListParagraph"/>
        <w:numPr>
          <w:ilvl w:val="0"/>
          <w:numId w:val="8"/>
        </w:numPr>
        <w:rPr>
          <w:rFonts w:ascii="MS Reference Sans Serif" w:hAnsi="MS Reference Sans Serif"/>
        </w:rPr>
      </w:pPr>
      <w:r>
        <w:rPr>
          <w:rFonts w:ascii="MS Reference Sans Serif" w:hAnsi="MS Reference Sans Serif"/>
        </w:rPr>
        <w:t xml:space="preserve">Dose: </w:t>
      </w:r>
    </w:p>
    <w:p w:rsidR="00532BAF" w:rsidRPr="00532BAF" w:rsidRDefault="00532BAF" w:rsidP="00532BAF">
      <w:pPr>
        <w:rPr>
          <w:rFonts w:ascii="MS Reference Sans Serif" w:hAnsi="MS Reference Sans Serif"/>
        </w:rPr>
      </w:pPr>
    </w:p>
    <w:p w:rsidR="00532BAF" w:rsidRDefault="00532BAF" w:rsidP="00532BAF">
      <w:pPr>
        <w:pStyle w:val="ListParagraph"/>
        <w:numPr>
          <w:ilvl w:val="1"/>
          <w:numId w:val="8"/>
        </w:numPr>
        <w:rPr>
          <w:rFonts w:ascii="MS Reference Sans Serif" w:hAnsi="MS Reference Sans Serif"/>
        </w:rPr>
      </w:pPr>
      <w:r>
        <w:rPr>
          <w:rFonts w:ascii="MS Reference Sans Serif" w:hAnsi="MS Reference Sans Serif"/>
        </w:rPr>
        <w:t>Liver:</w:t>
      </w:r>
      <w:r w:rsidR="00222370" w:rsidRPr="00532BAF">
        <w:rPr>
          <w:rFonts w:ascii="MS Reference Sans Serif" w:hAnsi="MS Reference Sans Serif"/>
        </w:rPr>
        <w:t>0</w:t>
      </w:r>
      <w:proofErr w:type="gramStart"/>
      <w:r w:rsidR="00222370" w:rsidRPr="00532BAF">
        <w:rPr>
          <w:rFonts w:ascii="MS Reference Sans Serif" w:hAnsi="MS Reference Sans Serif"/>
        </w:rPr>
        <w:t>.5</w:t>
      </w:r>
      <w:proofErr w:type="gramEnd"/>
      <w:r w:rsidR="00222370" w:rsidRPr="00532BAF">
        <w:rPr>
          <w:rFonts w:ascii="MS Reference Sans Serif" w:hAnsi="MS Reference Sans Serif"/>
        </w:rPr>
        <w:t xml:space="preserve"> mg/kg q 12-24 hrs for 3 days or as long as PT is prolonged</w:t>
      </w:r>
    </w:p>
    <w:p w:rsidR="00222370" w:rsidRPr="00532BAF" w:rsidRDefault="00532BAF" w:rsidP="00532BAF">
      <w:pPr>
        <w:pStyle w:val="ListParagraph"/>
        <w:numPr>
          <w:ilvl w:val="1"/>
          <w:numId w:val="8"/>
        </w:numPr>
        <w:rPr>
          <w:rFonts w:ascii="MS Reference Sans Serif" w:hAnsi="MS Reference Sans Serif"/>
        </w:rPr>
      </w:pPr>
      <w:r>
        <w:rPr>
          <w:rFonts w:ascii="MS Reference Sans Serif" w:hAnsi="MS Reference Sans Serif"/>
        </w:rPr>
        <w:t xml:space="preserve">Anticoagulant: 5 mg/kg SID first day, then 2.5 mg/kg BID or Sid depending on author. </w:t>
      </w:r>
    </w:p>
    <w:p w:rsidR="00D37155" w:rsidRPr="00A5345D" w:rsidRDefault="00D37155" w:rsidP="00222370">
      <w:pPr>
        <w:rPr>
          <w:rFonts w:ascii="MS Reference Sans Serif" w:hAnsi="MS Reference Sans Serif"/>
          <w:b/>
        </w:rPr>
      </w:pPr>
    </w:p>
    <w:sectPr w:rsidR="00D37155" w:rsidRPr="00A5345D" w:rsidSect="00D37155">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MS Reference Sans Serif">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新細明體">
    <w:altName w:val="新細明體"/>
    <w:charset w:val="51"/>
    <w:family w:val="auto"/>
    <w:pitch w:val="variable"/>
    <w:sig w:usb0="00000001" w:usb1="00000000" w:usb2="01000408" w:usb3="00000000" w:csb0="001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1323F"/>
    <w:multiLevelType w:val="hybridMultilevel"/>
    <w:tmpl w:val="41361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B39B7"/>
    <w:multiLevelType w:val="hybridMultilevel"/>
    <w:tmpl w:val="E9E4892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88797E"/>
    <w:multiLevelType w:val="hybridMultilevel"/>
    <w:tmpl w:val="08E0C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2B7408"/>
    <w:multiLevelType w:val="hybridMultilevel"/>
    <w:tmpl w:val="2A7AD2BE"/>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2C142DBC"/>
    <w:multiLevelType w:val="hybridMultilevel"/>
    <w:tmpl w:val="0004D1C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4C7421A"/>
    <w:multiLevelType w:val="hybridMultilevel"/>
    <w:tmpl w:val="9E1E91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D69023E"/>
    <w:multiLevelType w:val="hybridMultilevel"/>
    <w:tmpl w:val="49FA85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BB799E"/>
    <w:multiLevelType w:val="hybridMultilevel"/>
    <w:tmpl w:val="FED619A4"/>
    <w:lvl w:ilvl="0" w:tplc="04090003">
      <w:start w:val="1"/>
      <w:numFmt w:val="bullet"/>
      <w:lvlText w:val=""/>
      <w:lvlJc w:val="left"/>
      <w:pPr>
        <w:ind w:left="360" w:hanging="360"/>
      </w:pPr>
      <w:rPr>
        <w:rFonts w:ascii="Symbol" w:hAnsi="Symbol" w:hint="default"/>
        <w:sz w:val="28"/>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AF340C9"/>
    <w:multiLevelType w:val="hybridMultilevel"/>
    <w:tmpl w:val="5FD01E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0F66B72"/>
    <w:multiLevelType w:val="hybridMultilevel"/>
    <w:tmpl w:val="11E273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5"/>
  </w:num>
  <w:num w:numId="3">
    <w:abstractNumId w:val="9"/>
  </w:num>
  <w:num w:numId="4">
    <w:abstractNumId w:val="2"/>
  </w:num>
  <w:num w:numId="5">
    <w:abstractNumId w:val="0"/>
  </w:num>
  <w:num w:numId="6">
    <w:abstractNumId w:val="7"/>
  </w:num>
  <w:num w:numId="7">
    <w:abstractNumId w:val="6"/>
  </w:num>
  <w:num w:numId="8">
    <w:abstractNumId w:val="1"/>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22370"/>
    <w:rsid w:val="00222370"/>
    <w:rsid w:val="00532BAF"/>
    <w:rsid w:val="00A26FFA"/>
    <w:rsid w:val="00A5345D"/>
    <w:rsid w:val="00B21C60"/>
    <w:rsid w:val="00D37155"/>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370"/>
    <w:rPr>
      <w:rFonts w:ascii="Times New Roman" w:eastAsia="Times New Roman" w:hAnsi="Times New Roman" w:cs="Times New Roman"/>
      <w:lang w:bidi="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A5345D"/>
    <w:pPr>
      <w:ind w:left="720"/>
      <w:contextualSpacing/>
    </w:pPr>
  </w:style>
</w:styles>
</file>

<file path=word/webSettings.xml><?xml version="1.0" encoding="utf-8"?>
<w:webSettings xmlns:r="http://schemas.openxmlformats.org/officeDocument/2006/relationships" xmlns:w="http://schemas.openxmlformats.org/wordprocessingml/2006/main">
  <w:divs>
    <w:div w:id="81486519">
      <w:bodyDiv w:val="1"/>
      <w:marLeft w:val="0"/>
      <w:marRight w:val="0"/>
      <w:marTop w:val="0"/>
      <w:marBottom w:val="0"/>
      <w:divBdr>
        <w:top w:val="none" w:sz="0" w:space="0" w:color="auto"/>
        <w:left w:val="none" w:sz="0" w:space="0" w:color="auto"/>
        <w:bottom w:val="none" w:sz="0" w:space="0" w:color="auto"/>
        <w:right w:val="none" w:sz="0" w:space="0" w:color="auto"/>
      </w:divBdr>
      <w:divsChild>
        <w:div w:id="1542397381">
          <w:marLeft w:val="706"/>
          <w:marRight w:val="0"/>
          <w:marTop w:val="0"/>
          <w:marBottom w:val="0"/>
          <w:divBdr>
            <w:top w:val="none" w:sz="0" w:space="0" w:color="auto"/>
            <w:left w:val="none" w:sz="0" w:space="0" w:color="auto"/>
            <w:bottom w:val="none" w:sz="0" w:space="0" w:color="auto"/>
            <w:right w:val="none" w:sz="0" w:space="0" w:color="auto"/>
          </w:divBdr>
        </w:div>
        <w:div w:id="357196960">
          <w:marLeft w:val="1296"/>
          <w:marRight w:val="0"/>
          <w:marTop w:val="0"/>
          <w:marBottom w:val="0"/>
          <w:divBdr>
            <w:top w:val="none" w:sz="0" w:space="0" w:color="auto"/>
            <w:left w:val="none" w:sz="0" w:space="0" w:color="auto"/>
            <w:bottom w:val="none" w:sz="0" w:space="0" w:color="auto"/>
            <w:right w:val="none" w:sz="0" w:space="0" w:color="auto"/>
          </w:divBdr>
        </w:div>
        <w:div w:id="113596455">
          <w:marLeft w:val="1296"/>
          <w:marRight w:val="0"/>
          <w:marTop w:val="0"/>
          <w:marBottom w:val="0"/>
          <w:divBdr>
            <w:top w:val="none" w:sz="0" w:space="0" w:color="auto"/>
            <w:left w:val="none" w:sz="0" w:space="0" w:color="auto"/>
            <w:bottom w:val="none" w:sz="0" w:space="0" w:color="auto"/>
            <w:right w:val="none" w:sz="0" w:space="0" w:color="auto"/>
          </w:divBdr>
        </w:div>
      </w:divsChild>
    </w:div>
    <w:div w:id="121927414">
      <w:bodyDiv w:val="1"/>
      <w:marLeft w:val="0"/>
      <w:marRight w:val="0"/>
      <w:marTop w:val="0"/>
      <w:marBottom w:val="0"/>
      <w:divBdr>
        <w:top w:val="none" w:sz="0" w:space="0" w:color="auto"/>
        <w:left w:val="none" w:sz="0" w:space="0" w:color="auto"/>
        <w:bottom w:val="none" w:sz="0" w:space="0" w:color="auto"/>
        <w:right w:val="none" w:sz="0" w:space="0" w:color="auto"/>
      </w:divBdr>
      <w:divsChild>
        <w:div w:id="890577634">
          <w:marLeft w:val="706"/>
          <w:marRight w:val="0"/>
          <w:marTop w:val="0"/>
          <w:marBottom w:val="0"/>
          <w:divBdr>
            <w:top w:val="none" w:sz="0" w:space="0" w:color="auto"/>
            <w:left w:val="none" w:sz="0" w:space="0" w:color="auto"/>
            <w:bottom w:val="none" w:sz="0" w:space="0" w:color="auto"/>
            <w:right w:val="none" w:sz="0" w:space="0" w:color="auto"/>
          </w:divBdr>
        </w:div>
        <w:div w:id="1104493974">
          <w:marLeft w:val="1296"/>
          <w:marRight w:val="0"/>
          <w:marTop w:val="0"/>
          <w:marBottom w:val="0"/>
          <w:divBdr>
            <w:top w:val="none" w:sz="0" w:space="0" w:color="auto"/>
            <w:left w:val="none" w:sz="0" w:space="0" w:color="auto"/>
            <w:bottom w:val="none" w:sz="0" w:space="0" w:color="auto"/>
            <w:right w:val="none" w:sz="0" w:space="0" w:color="auto"/>
          </w:divBdr>
        </w:div>
        <w:div w:id="1290160524">
          <w:marLeft w:val="1296"/>
          <w:marRight w:val="0"/>
          <w:marTop w:val="0"/>
          <w:marBottom w:val="0"/>
          <w:divBdr>
            <w:top w:val="none" w:sz="0" w:space="0" w:color="auto"/>
            <w:left w:val="none" w:sz="0" w:space="0" w:color="auto"/>
            <w:bottom w:val="none" w:sz="0" w:space="0" w:color="auto"/>
            <w:right w:val="none" w:sz="0" w:space="0" w:color="auto"/>
          </w:divBdr>
        </w:div>
        <w:div w:id="446900157">
          <w:marLeft w:val="1296"/>
          <w:marRight w:val="0"/>
          <w:marTop w:val="0"/>
          <w:marBottom w:val="0"/>
          <w:divBdr>
            <w:top w:val="none" w:sz="0" w:space="0" w:color="auto"/>
            <w:left w:val="none" w:sz="0" w:space="0" w:color="auto"/>
            <w:bottom w:val="none" w:sz="0" w:space="0" w:color="auto"/>
            <w:right w:val="none" w:sz="0" w:space="0" w:color="auto"/>
          </w:divBdr>
        </w:div>
        <w:div w:id="261257023">
          <w:marLeft w:val="1296"/>
          <w:marRight w:val="0"/>
          <w:marTop w:val="0"/>
          <w:marBottom w:val="0"/>
          <w:divBdr>
            <w:top w:val="none" w:sz="0" w:space="0" w:color="auto"/>
            <w:left w:val="none" w:sz="0" w:space="0" w:color="auto"/>
            <w:bottom w:val="none" w:sz="0" w:space="0" w:color="auto"/>
            <w:right w:val="none" w:sz="0" w:space="0" w:color="auto"/>
          </w:divBdr>
        </w:div>
        <w:div w:id="1318798309">
          <w:marLeft w:val="1296"/>
          <w:marRight w:val="0"/>
          <w:marTop w:val="0"/>
          <w:marBottom w:val="0"/>
          <w:divBdr>
            <w:top w:val="none" w:sz="0" w:space="0" w:color="auto"/>
            <w:left w:val="none" w:sz="0" w:space="0" w:color="auto"/>
            <w:bottom w:val="none" w:sz="0" w:space="0" w:color="auto"/>
            <w:right w:val="none" w:sz="0" w:space="0" w:color="auto"/>
          </w:divBdr>
        </w:div>
        <w:div w:id="1292324472">
          <w:marLeft w:val="1296"/>
          <w:marRight w:val="0"/>
          <w:marTop w:val="0"/>
          <w:marBottom w:val="0"/>
          <w:divBdr>
            <w:top w:val="none" w:sz="0" w:space="0" w:color="auto"/>
            <w:left w:val="none" w:sz="0" w:space="0" w:color="auto"/>
            <w:bottom w:val="none" w:sz="0" w:space="0" w:color="auto"/>
            <w:right w:val="none" w:sz="0" w:space="0" w:color="auto"/>
          </w:divBdr>
        </w:div>
        <w:div w:id="32848675">
          <w:marLeft w:val="1296"/>
          <w:marRight w:val="0"/>
          <w:marTop w:val="0"/>
          <w:marBottom w:val="0"/>
          <w:divBdr>
            <w:top w:val="none" w:sz="0" w:space="0" w:color="auto"/>
            <w:left w:val="none" w:sz="0" w:space="0" w:color="auto"/>
            <w:bottom w:val="none" w:sz="0" w:space="0" w:color="auto"/>
            <w:right w:val="none" w:sz="0" w:space="0" w:color="auto"/>
          </w:divBdr>
        </w:div>
        <w:div w:id="1487086236">
          <w:marLeft w:val="1296"/>
          <w:marRight w:val="0"/>
          <w:marTop w:val="0"/>
          <w:marBottom w:val="0"/>
          <w:divBdr>
            <w:top w:val="none" w:sz="0" w:space="0" w:color="auto"/>
            <w:left w:val="none" w:sz="0" w:space="0" w:color="auto"/>
            <w:bottom w:val="none" w:sz="0" w:space="0" w:color="auto"/>
            <w:right w:val="none" w:sz="0" w:space="0" w:color="auto"/>
          </w:divBdr>
        </w:div>
        <w:div w:id="1157307834">
          <w:marLeft w:val="1296"/>
          <w:marRight w:val="0"/>
          <w:marTop w:val="0"/>
          <w:marBottom w:val="0"/>
          <w:divBdr>
            <w:top w:val="none" w:sz="0" w:space="0" w:color="auto"/>
            <w:left w:val="none" w:sz="0" w:space="0" w:color="auto"/>
            <w:bottom w:val="none" w:sz="0" w:space="0" w:color="auto"/>
            <w:right w:val="none" w:sz="0" w:space="0" w:color="auto"/>
          </w:divBdr>
        </w:div>
        <w:div w:id="62072472">
          <w:marLeft w:val="1296"/>
          <w:marRight w:val="0"/>
          <w:marTop w:val="0"/>
          <w:marBottom w:val="0"/>
          <w:divBdr>
            <w:top w:val="none" w:sz="0" w:space="0" w:color="auto"/>
            <w:left w:val="none" w:sz="0" w:space="0" w:color="auto"/>
            <w:bottom w:val="none" w:sz="0" w:space="0" w:color="auto"/>
            <w:right w:val="none" w:sz="0" w:space="0" w:color="auto"/>
          </w:divBdr>
        </w:div>
        <w:div w:id="381909995">
          <w:marLeft w:val="1296"/>
          <w:marRight w:val="0"/>
          <w:marTop w:val="0"/>
          <w:marBottom w:val="0"/>
          <w:divBdr>
            <w:top w:val="none" w:sz="0" w:space="0" w:color="auto"/>
            <w:left w:val="none" w:sz="0" w:space="0" w:color="auto"/>
            <w:bottom w:val="none" w:sz="0" w:space="0" w:color="auto"/>
            <w:right w:val="none" w:sz="0" w:space="0" w:color="auto"/>
          </w:divBdr>
        </w:div>
        <w:div w:id="5450248">
          <w:marLeft w:val="706"/>
          <w:marRight w:val="0"/>
          <w:marTop w:val="0"/>
          <w:marBottom w:val="0"/>
          <w:divBdr>
            <w:top w:val="none" w:sz="0" w:space="0" w:color="auto"/>
            <w:left w:val="none" w:sz="0" w:space="0" w:color="auto"/>
            <w:bottom w:val="none" w:sz="0" w:space="0" w:color="auto"/>
            <w:right w:val="none" w:sz="0" w:space="0" w:color="auto"/>
          </w:divBdr>
        </w:div>
        <w:div w:id="2081056779">
          <w:marLeft w:val="706"/>
          <w:marRight w:val="0"/>
          <w:marTop w:val="0"/>
          <w:marBottom w:val="0"/>
          <w:divBdr>
            <w:top w:val="none" w:sz="0" w:space="0" w:color="auto"/>
            <w:left w:val="none" w:sz="0" w:space="0" w:color="auto"/>
            <w:bottom w:val="none" w:sz="0" w:space="0" w:color="auto"/>
            <w:right w:val="none" w:sz="0" w:space="0" w:color="auto"/>
          </w:divBdr>
        </w:div>
      </w:divsChild>
    </w:div>
    <w:div w:id="155733631">
      <w:bodyDiv w:val="1"/>
      <w:marLeft w:val="0"/>
      <w:marRight w:val="0"/>
      <w:marTop w:val="0"/>
      <w:marBottom w:val="0"/>
      <w:divBdr>
        <w:top w:val="none" w:sz="0" w:space="0" w:color="auto"/>
        <w:left w:val="none" w:sz="0" w:space="0" w:color="auto"/>
        <w:bottom w:val="none" w:sz="0" w:space="0" w:color="auto"/>
        <w:right w:val="none" w:sz="0" w:space="0" w:color="auto"/>
      </w:divBdr>
      <w:divsChild>
        <w:div w:id="142695791">
          <w:marLeft w:val="706"/>
          <w:marRight w:val="0"/>
          <w:marTop w:val="0"/>
          <w:marBottom w:val="0"/>
          <w:divBdr>
            <w:top w:val="none" w:sz="0" w:space="0" w:color="auto"/>
            <w:left w:val="none" w:sz="0" w:space="0" w:color="auto"/>
            <w:bottom w:val="none" w:sz="0" w:space="0" w:color="auto"/>
            <w:right w:val="none" w:sz="0" w:space="0" w:color="auto"/>
          </w:divBdr>
        </w:div>
        <w:div w:id="132798252">
          <w:marLeft w:val="1296"/>
          <w:marRight w:val="0"/>
          <w:marTop w:val="0"/>
          <w:marBottom w:val="0"/>
          <w:divBdr>
            <w:top w:val="none" w:sz="0" w:space="0" w:color="auto"/>
            <w:left w:val="none" w:sz="0" w:space="0" w:color="auto"/>
            <w:bottom w:val="none" w:sz="0" w:space="0" w:color="auto"/>
            <w:right w:val="none" w:sz="0" w:space="0" w:color="auto"/>
          </w:divBdr>
        </w:div>
        <w:div w:id="1551071680">
          <w:marLeft w:val="1742"/>
          <w:marRight w:val="0"/>
          <w:marTop w:val="0"/>
          <w:marBottom w:val="0"/>
          <w:divBdr>
            <w:top w:val="none" w:sz="0" w:space="0" w:color="auto"/>
            <w:left w:val="none" w:sz="0" w:space="0" w:color="auto"/>
            <w:bottom w:val="none" w:sz="0" w:space="0" w:color="auto"/>
            <w:right w:val="none" w:sz="0" w:space="0" w:color="auto"/>
          </w:divBdr>
        </w:div>
        <w:div w:id="1580482643">
          <w:marLeft w:val="1742"/>
          <w:marRight w:val="0"/>
          <w:marTop w:val="0"/>
          <w:marBottom w:val="0"/>
          <w:divBdr>
            <w:top w:val="none" w:sz="0" w:space="0" w:color="auto"/>
            <w:left w:val="none" w:sz="0" w:space="0" w:color="auto"/>
            <w:bottom w:val="none" w:sz="0" w:space="0" w:color="auto"/>
            <w:right w:val="none" w:sz="0" w:space="0" w:color="auto"/>
          </w:divBdr>
        </w:div>
        <w:div w:id="1512917111">
          <w:marLeft w:val="1296"/>
          <w:marRight w:val="0"/>
          <w:marTop w:val="0"/>
          <w:marBottom w:val="0"/>
          <w:divBdr>
            <w:top w:val="none" w:sz="0" w:space="0" w:color="auto"/>
            <w:left w:val="none" w:sz="0" w:space="0" w:color="auto"/>
            <w:bottom w:val="none" w:sz="0" w:space="0" w:color="auto"/>
            <w:right w:val="none" w:sz="0" w:space="0" w:color="auto"/>
          </w:divBdr>
        </w:div>
        <w:div w:id="407583628">
          <w:marLeft w:val="1296"/>
          <w:marRight w:val="0"/>
          <w:marTop w:val="0"/>
          <w:marBottom w:val="0"/>
          <w:divBdr>
            <w:top w:val="none" w:sz="0" w:space="0" w:color="auto"/>
            <w:left w:val="none" w:sz="0" w:space="0" w:color="auto"/>
            <w:bottom w:val="none" w:sz="0" w:space="0" w:color="auto"/>
            <w:right w:val="none" w:sz="0" w:space="0" w:color="auto"/>
          </w:divBdr>
        </w:div>
      </w:divsChild>
    </w:div>
    <w:div w:id="339354910">
      <w:bodyDiv w:val="1"/>
      <w:marLeft w:val="0"/>
      <w:marRight w:val="0"/>
      <w:marTop w:val="0"/>
      <w:marBottom w:val="0"/>
      <w:divBdr>
        <w:top w:val="none" w:sz="0" w:space="0" w:color="auto"/>
        <w:left w:val="none" w:sz="0" w:space="0" w:color="auto"/>
        <w:bottom w:val="none" w:sz="0" w:space="0" w:color="auto"/>
        <w:right w:val="none" w:sz="0" w:space="0" w:color="auto"/>
      </w:divBdr>
      <w:divsChild>
        <w:div w:id="1602563704">
          <w:marLeft w:val="706"/>
          <w:marRight w:val="0"/>
          <w:marTop w:val="0"/>
          <w:marBottom w:val="0"/>
          <w:divBdr>
            <w:top w:val="none" w:sz="0" w:space="0" w:color="auto"/>
            <w:left w:val="none" w:sz="0" w:space="0" w:color="auto"/>
            <w:bottom w:val="none" w:sz="0" w:space="0" w:color="auto"/>
            <w:right w:val="none" w:sz="0" w:space="0" w:color="auto"/>
          </w:divBdr>
        </w:div>
        <w:div w:id="1140533670">
          <w:marLeft w:val="1296"/>
          <w:marRight w:val="0"/>
          <w:marTop w:val="0"/>
          <w:marBottom w:val="0"/>
          <w:divBdr>
            <w:top w:val="none" w:sz="0" w:space="0" w:color="auto"/>
            <w:left w:val="none" w:sz="0" w:space="0" w:color="auto"/>
            <w:bottom w:val="none" w:sz="0" w:space="0" w:color="auto"/>
            <w:right w:val="none" w:sz="0" w:space="0" w:color="auto"/>
          </w:divBdr>
        </w:div>
        <w:div w:id="1251114061">
          <w:marLeft w:val="1296"/>
          <w:marRight w:val="0"/>
          <w:marTop w:val="0"/>
          <w:marBottom w:val="0"/>
          <w:divBdr>
            <w:top w:val="none" w:sz="0" w:space="0" w:color="auto"/>
            <w:left w:val="none" w:sz="0" w:space="0" w:color="auto"/>
            <w:bottom w:val="none" w:sz="0" w:space="0" w:color="auto"/>
            <w:right w:val="none" w:sz="0" w:space="0" w:color="auto"/>
          </w:divBdr>
        </w:div>
        <w:div w:id="1227567233">
          <w:marLeft w:val="706"/>
          <w:marRight w:val="0"/>
          <w:marTop w:val="0"/>
          <w:marBottom w:val="0"/>
          <w:divBdr>
            <w:top w:val="none" w:sz="0" w:space="0" w:color="auto"/>
            <w:left w:val="none" w:sz="0" w:space="0" w:color="auto"/>
            <w:bottom w:val="none" w:sz="0" w:space="0" w:color="auto"/>
            <w:right w:val="none" w:sz="0" w:space="0" w:color="auto"/>
          </w:divBdr>
        </w:div>
        <w:div w:id="1672828097">
          <w:marLeft w:val="706"/>
          <w:marRight w:val="0"/>
          <w:marTop w:val="0"/>
          <w:marBottom w:val="0"/>
          <w:divBdr>
            <w:top w:val="none" w:sz="0" w:space="0" w:color="auto"/>
            <w:left w:val="none" w:sz="0" w:space="0" w:color="auto"/>
            <w:bottom w:val="none" w:sz="0" w:space="0" w:color="auto"/>
            <w:right w:val="none" w:sz="0" w:space="0" w:color="auto"/>
          </w:divBdr>
        </w:div>
        <w:div w:id="492335942">
          <w:marLeft w:val="706"/>
          <w:marRight w:val="0"/>
          <w:marTop w:val="0"/>
          <w:marBottom w:val="0"/>
          <w:divBdr>
            <w:top w:val="none" w:sz="0" w:space="0" w:color="auto"/>
            <w:left w:val="none" w:sz="0" w:space="0" w:color="auto"/>
            <w:bottom w:val="none" w:sz="0" w:space="0" w:color="auto"/>
            <w:right w:val="none" w:sz="0" w:space="0" w:color="auto"/>
          </w:divBdr>
        </w:div>
        <w:div w:id="1955476908">
          <w:marLeft w:val="706"/>
          <w:marRight w:val="0"/>
          <w:marTop w:val="0"/>
          <w:marBottom w:val="0"/>
          <w:divBdr>
            <w:top w:val="none" w:sz="0" w:space="0" w:color="auto"/>
            <w:left w:val="none" w:sz="0" w:space="0" w:color="auto"/>
            <w:bottom w:val="none" w:sz="0" w:space="0" w:color="auto"/>
            <w:right w:val="none" w:sz="0" w:space="0" w:color="auto"/>
          </w:divBdr>
        </w:div>
      </w:divsChild>
    </w:div>
    <w:div w:id="460806067">
      <w:bodyDiv w:val="1"/>
      <w:marLeft w:val="0"/>
      <w:marRight w:val="0"/>
      <w:marTop w:val="0"/>
      <w:marBottom w:val="0"/>
      <w:divBdr>
        <w:top w:val="none" w:sz="0" w:space="0" w:color="auto"/>
        <w:left w:val="none" w:sz="0" w:space="0" w:color="auto"/>
        <w:bottom w:val="none" w:sz="0" w:space="0" w:color="auto"/>
        <w:right w:val="none" w:sz="0" w:space="0" w:color="auto"/>
      </w:divBdr>
      <w:divsChild>
        <w:div w:id="2100904925">
          <w:marLeft w:val="706"/>
          <w:marRight w:val="0"/>
          <w:marTop w:val="0"/>
          <w:marBottom w:val="0"/>
          <w:divBdr>
            <w:top w:val="none" w:sz="0" w:space="0" w:color="auto"/>
            <w:left w:val="none" w:sz="0" w:space="0" w:color="auto"/>
            <w:bottom w:val="none" w:sz="0" w:space="0" w:color="auto"/>
            <w:right w:val="none" w:sz="0" w:space="0" w:color="auto"/>
          </w:divBdr>
        </w:div>
        <w:div w:id="408381941">
          <w:marLeft w:val="706"/>
          <w:marRight w:val="0"/>
          <w:marTop w:val="0"/>
          <w:marBottom w:val="0"/>
          <w:divBdr>
            <w:top w:val="none" w:sz="0" w:space="0" w:color="auto"/>
            <w:left w:val="none" w:sz="0" w:space="0" w:color="auto"/>
            <w:bottom w:val="none" w:sz="0" w:space="0" w:color="auto"/>
            <w:right w:val="none" w:sz="0" w:space="0" w:color="auto"/>
          </w:divBdr>
        </w:div>
        <w:div w:id="1965193686">
          <w:marLeft w:val="706"/>
          <w:marRight w:val="0"/>
          <w:marTop w:val="0"/>
          <w:marBottom w:val="0"/>
          <w:divBdr>
            <w:top w:val="none" w:sz="0" w:space="0" w:color="auto"/>
            <w:left w:val="none" w:sz="0" w:space="0" w:color="auto"/>
            <w:bottom w:val="none" w:sz="0" w:space="0" w:color="auto"/>
            <w:right w:val="none" w:sz="0" w:space="0" w:color="auto"/>
          </w:divBdr>
        </w:div>
        <w:div w:id="1164516039">
          <w:marLeft w:val="706"/>
          <w:marRight w:val="0"/>
          <w:marTop w:val="0"/>
          <w:marBottom w:val="0"/>
          <w:divBdr>
            <w:top w:val="none" w:sz="0" w:space="0" w:color="auto"/>
            <w:left w:val="none" w:sz="0" w:space="0" w:color="auto"/>
            <w:bottom w:val="none" w:sz="0" w:space="0" w:color="auto"/>
            <w:right w:val="none" w:sz="0" w:space="0" w:color="auto"/>
          </w:divBdr>
        </w:div>
        <w:div w:id="1414349756">
          <w:marLeft w:val="706"/>
          <w:marRight w:val="0"/>
          <w:marTop w:val="0"/>
          <w:marBottom w:val="0"/>
          <w:divBdr>
            <w:top w:val="none" w:sz="0" w:space="0" w:color="auto"/>
            <w:left w:val="none" w:sz="0" w:space="0" w:color="auto"/>
            <w:bottom w:val="none" w:sz="0" w:space="0" w:color="auto"/>
            <w:right w:val="none" w:sz="0" w:space="0" w:color="auto"/>
          </w:divBdr>
        </w:div>
      </w:divsChild>
    </w:div>
    <w:div w:id="690299930">
      <w:bodyDiv w:val="1"/>
      <w:marLeft w:val="0"/>
      <w:marRight w:val="0"/>
      <w:marTop w:val="0"/>
      <w:marBottom w:val="0"/>
      <w:divBdr>
        <w:top w:val="none" w:sz="0" w:space="0" w:color="auto"/>
        <w:left w:val="none" w:sz="0" w:space="0" w:color="auto"/>
        <w:bottom w:val="none" w:sz="0" w:space="0" w:color="auto"/>
        <w:right w:val="none" w:sz="0" w:space="0" w:color="auto"/>
      </w:divBdr>
      <w:divsChild>
        <w:div w:id="1873959593">
          <w:marLeft w:val="706"/>
          <w:marRight w:val="0"/>
          <w:marTop w:val="0"/>
          <w:marBottom w:val="0"/>
          <w:divBdr>
            <w:top w:val="none" w:sz="0" w:space="0" w:color="auto"/>
            <w:left w:val="none" w:sz="0" w:space="0" w:color="auto"/>
            <w:bottom w:val="none" w:sz="0" w:space="0" w:color="auto"/>
            <w:right w:val="none" w:sz="0" w:space="0" w:color="auto"/>
          </w:divBdr>
        </w:div>
        <w:div w:id="608003924">
          <w:marLeft w:val="1296"/>
          <w:marRight w:val="0"/>
          <w:marTop w:val="0"/>
          <w:marBottom w:val="0"/>
          <w:divBdr>
            <w:top w:val="none" w:sz="0" w:space="0" w:color="auto"/>
            <w:left w:val="none" w:sz="0" w:space="0" w:color="auto"/>
            <w:bottom w:val="none" w:sz="0" w:space="0" w:color="auto"/>
            <w:right w:val="none" w:sz="0" w:space="0" w:color="auto"/>
          </w:divBdr>
        </w:div>
        <w:div w:id="650670372">
          <w:marLeft w:val="1296"/>
          <w:marRight w:val="0"/>
          <w:marTop w:val="0"/>
          <w:marBottom w:val="0"/>
          <w:divBdr>
            <w:top w:val="none" w:sz="0" w:space="0" w:color="auto"/>
            <w:left w:val="none" w:sz="0" w:space="0" w:color="auto"/>
            <w:bottom w:val="none" w:sz="0" w:space="0" w:color="auto"/>
            <w:right w:val="none" w:sz="0" w:space="0" w:color="auto"/>
          </w:divBdr>
        </w:div>
        <w:div w:id="664746980">
          <w:marLeft w:val="1296"/>
          <w:marRight w:val="0"/>
          <w:marTop w:val="0"/>
          <w:marBottom w:val="0"/>
          <w:divBdr>
            <w:top w:val="none" w:sz="0" w:space="0" w:color="auto"/>
            <w:left w:val="none" w:sz="0" w:space="0" w:color="auto"/>
            <w:bottom w:val="none" w:sz="0" w:space="0" w:color="auto"/>
            <w:right w:val="none" w:sz="0" w:space="0" w:color="auto"/>
          </w:divBdr>
        </w:div>
        <w:div w:id="1131479718">
          <w:marLeft w:val="1296"/>
          <w:marRight w:val="0"/>
          <w:marTop w:val="0"/>
          <w:marBottom w:val="0"/>
          <w:divBdr>
            <w:top w:val="none" w:sz="0" w:space="0" w:color="auto"/>
            <w:left w:val="none" w:sz="0" w:space="0" w:color="auto"/>
            <w:bottom w:val="none" w:sz="0" w:space="0" w:color="auto"/>
            <w:right w:val="none" w:sz="0" w:space="0" w:color="auto"/>
          </w:divBdr>
        </w:div>
        <w:div w:id="713694830">
          <w:marLeft w:val="1742"/>
          <w:marRight w:val="0"/>
          <w:marTop w:val="0"/>
          <w:marBottom w:val="0"/>
          <w:divBdr>
            <w:top w:val="none" w:sz="0" w:space="0" w:color="auto"/>
            <w:left w:val="none" w:sz="0" w:space="0" w:color="auto"/>
            <w:bottom w:val="none" w:sz="0" w:space="0" w:color="auto"/>
            <w:right w:val="none" w:sz="0" w:space="0" w:color="auto"/>
          </w:divBdr>
        </w:div>
        <w:div w:id="2034845983">
          <w:marLeft w:val="1296"/>
          <w:marRight w:val="0"/>
          <w:marTop w:val="0"/>
          <w:marBottom w:val="0"/>
          <w:divBdr>
            <w:top w:val="none" w:sz="0" w:space="0" w:color="auto"/>
            <w:left w:val="none" w:sz="0" w:space="0" w:color="auto"/>
            <w:bottom w:val="none" w:sz="0" w:space="0" w:color="auto"/>
            <w:right w:val="none" w:sz="0" w:space="0" w:color="auto"/>
          </w:divBdr>
        </w:div>
        <w:div w:id="1290434412">
          <w:marLeft w:val="1296"/>
          <w:marRight w:val="0"/>
          <w:marTop w:val="0"/>
          <w:marBottom w:val="0"/>
          <w:divBdr>
            <w:top w:val="none" w:sz="0" w:space="0" w:color="auto"/>
            <w:left w:val="none" w:sz="0" w:space="0" w:color="auto"/>
            <w:bottom w:val="none" w:sz="0" w:space="0" w:color="auto"/>
            <w:right w:val="none" w:sz="0" w:space="0" w:color="auto"/>
          </w:divBdr>
        </w:div>
        <w:div w:id="535965493">
          <w:marLeft w:val="1296"/>
          <w:marRight w:val="0"/>
          <w:marTop w:val="0"/>
          <w:marBottom w:val="0"/>
          <w:divBdr>
            <w:top w:val="none" w:sz="0" w:space="0" w:color="auto"/>
            <w:left w:val="none" w:sz="0" w:space="0" w:color="auto"/>
            <w:bottom w:val="none" w:sz="0" w:space="0" w:color="auto"/>
            <w:right w:val="none" w:sz="0" w:space="0" w:color="auto"/>
          </w:divBdr>
        </w:div>
        <w:div w:id="428239627">
          <w:marLeft w:val="1296"/>
          <w:marRight w:val="0"/>
          <w:marTop w:val="0"/>
          <w:marBottom w:val="0"/>
          <w:divBdr>
            <w:top w:val="none" w:sz="0" w:space="0" w:color="auto"/>
            <w:left w:val="none" w:sz="0" w:space="0" w:color="auto"/>
            <w:bottom w:val="none" w:sz="0" w:space="0" w:color="auto"/>
            <w:right w:val="none" w:sz="0" w:space="0" w:color="auto"/>
          </w:divBdr>
        </w:div>
      </w:divsChild>
    </w:div>
    <w:div w:id="784421478">
      <w:bodyDiv w:val="1"/>
      <w:marLeft w:val="0"/>
      <w:marRight w:val="0"/>
      <w:marTop w:val="0"/>
      <w:marBottom w:val="0"/>
      <w:divBdr>
        <w:top w:val="none" w:sz="0" w:space="0" w:color="auto"/>
        <w:left w:val="none" w:sz="0" w:space="0" w:color="auto"/>
        <w:bottom w:val="none" w:sz="0" w:space="0" w:color="auto"/>
        <w:right w:val="none" w:sz="0" w:space="0" w:color="auto"/>
      </w:divBdr>
      <w:divsChild>
        <w:div w:id="1608582317">
          <w:marLeft w:val="706"/>
          <w:marRight w:val="0"/>
          <w:marTop w:val="0"/>
          <w:marBottom w:val="0"/>
          <w:divBdr>
            <w:top w:val="none" w:sz="0" w:space="0" w:color="auto"/>
            <w:left w:val="none" w:sz="0" w:space="0" w:color="auto"/>
            <w:bottom w:val="none" w:sz="0" w:space="0" w:color="auto"/>
            <w:right w:val="none" w:sz="0" w:space="0" w:color="auto"/>
          </w:divBdr>
        </w:div>
        <w:div w:id="1469127656">
          <w:marLeft w:val="1296"/>
          <w:marRight w:val="0"/>
          <w:marTop w:val="0"/>
          <w:marBottom w:val="0"/>
          <w:divBdr>
            <w:top w:val="none" w:sz="0" w:space="0" w:color="auto"/>
            <w:left w:val="none" w:sz="0" w:space="0" w:color="auto"/>
            <w:bottom w:val="none" w:sz="0" w:space="0" w:color="auto"/>
            <w:right w:val="none" w:sz="0" w:space="0" w:color="auto"/>
          </w:divBdr>
        </w:div>
        <w:div w:id="634215251">
          <w:marLeft w:val="1296"/>
          <w:marRight w:val="0"/>
          <w:marTop w:val="0"/>
          <w:marBottom w:val="0"/>
          <w:divBdr>
            <w:top w:val="none" w:sz="0" w:space="0" w:color="auto"/>
            <w:left w:val="none" w:sz="0" w:space="0" w:color="auto"/>
            <w:bottom w:val="none" w:sz="0" w:space="0" w:color="auto"/>
            <w:right w:val="none" w:sz="0" w:space="0" w:color="auto"/>
          </w:divBdr>
        </w:div>
      </w:divsChild>
    </w:div>
    <w:div w:id="895504729">
      <w:bodyDiv w:val="1"/>
      <w:marLeft w:val="0"/>
      <w:marRight w:val="0"/>
      <w:marTop w:val="0"/>
      <w:marBottom w:val="0"/>
      <w:divBdr>
        <w:top w:val="none" w:sz="0" w:space="0" w:color="auto"/>
        <w:left w:val="none" w:sz="0" w:space="0" w:color="auto"/>
        <w:bottom w:val="none" w:sz="0" w:space="0" w:color="auto"/>
        <w:right w:val="none" w:sz="0" w:space="0" w:color="auto"/>
      </w:divBdr>
      <w:divsChild>
        <w:div w:id="353194598">
          <w:marLeft w:val="706"/>
          <w:marRight w:val="0"/>
          <w:marTop w:val="0"/>
          <w:marBottom w:val="0"/>
          <w:divBdr>
            <w:top w:val="none" w:sz="0" w:space="0" w:color="auto"/>
            <w:left w:val="none" w:sz="0" w:space="0" w:color="auto"/>
            <w:bottom w:val="none" w:sz="0" w:space="0" w:color="auto"/>
            <w:right w:val="none" w:sz="0" w:space="0" w:color="auto"/>
          </w:divBdr>
        </w:div>
        <w:div w:id="946153194">
          <w:marLeft w:val="1296"/>
          <w:marRight w:val="0"/>
          <w:marTop w:val="0"/>
          <w:marBottom w:val="0"/>
          <w:divBdr>
            <w:top w:val="none" w:sz="0" w:space="0" w:color="auto"/>
            <w:left w:val="none" w:sz="0" w:space="0" w:color="auto"/>
            <w:bottom w:val="none" w:sz="0" w:space="0" w:color="auto"/>
            <w:right w:val="none" w:sz="0" w:space="0" w:color="auto"/>
          </w:divBdr>
        </w:div>
        <w:div w:id="2091922144">
          <w:marLeft w:val="1296"/>
          <w:marRight w:val="0"/>
          <w:marTop w:val="0"/>
          <w:marBottom w:val="0"/>
          <w:divBdr>
            <w:top w:val="none" w:sz="0" w:space="0" w:color="auto"/>
            <w:left w:val="none" w:sz="0" w:space="0" w:color="auto"/>
            <w:bottom w:val="none" w:sz="0" w:space="0" w:color="auto"/>
            <w:right w:val="none" w:sz="0" w:space="0" w:color="auto"/>
          </w:divBdr>
        </w:div>
        <w:div w:id="1638801892">
          <w:marLeft w:val="1296"/>
          <w:marRight w:val="0"/>
          <w:marTop w:val="0"/>
          <w:marBottom w:val="0"/>
          <w:divBdr>
            <w:top w:val="none" w:sz="0" w:space="0" w:color="auto"/>
            <w:left w:val="none" w:sz="0" w:space="0" w:color="auto"/>
            <w:bottom w:val="none" w:sz="0" w:space="0" w:color="auto"/>
            <w:right w:val="none" w:sz="0" w:space="0" w:color="auto"/>
          </w:divBdr>
        </w:div>
        <w:div w:id="840509571">
          <w:marLeft w:val="1296"/>
          <w:marRight w:val="0"/>
          <w:marTop w:val="0"/>
          <w:marBottom w:val="0"/>
          <w:divBdr>
            <w:top w:val="none" w:sz="0" w:space="0" w:color="auto"/>
            <w:left w:val="none" w:sz="0" w:space="0" w:color="auto"/>
            <w:bottom w:val="none" w:sz="0" w:space="0" w:color="auto"/>
            <w:right w:val="none" w:sz="0" w:space="0" w:color="auto"/>
          </w:divBdr>
        </w:div>
      </w:divsChild>
    </w:div>
    <w:div w:id="996223606">
      <w:bodyDiv w:val="1"/>
      <w:marLeft w:val="0"/>
      <w:marRight w:val="0"/>
      <w:marTop w:val="0"/>
      <w:marBottom w:val="0"/>
      <w:divBdr>
        <w:top w:val="none" w:sz="0" w:space="0" w:color="auto"/>
        <w:left w:val="none" w:sz="0" w:space="0" w:color="auto"/>
        <w:bottom w:val="none" w:sz="0" w:space="0" w:color="auto"/>
        <w:right w:val="none" w:sz="0" w:space="0" w:color="auto"/>
      </w:divBdr>
      <w:divsChild>
        <w:div w:id="761412662">
          <w:marLeft w:val="706"/>
          <w:marRight w:val="0"/>
          <w:marTop w:val="0"/>
          <w:marBottom w:val="0"/>
          <w:divBdr>
            <w:top w:val="none" w:sz="0" w:space="0" w:color="auto"/>
            <w:left w:val="none" w:sz="0" w:space="0" w:color="auto"/>
            <w:bottom w:val="none" w:sz="0" w:space="0" w:color="auto"/>
            <w:right w:val="none" w:sz="0" w:space="0" w:color="auto"/>
          </w:divBdr>
        </w:div>
        <w:div w:id="150029511">
          <w:marLeft w:val="1296"/>
          <w:marRight w:val="0"/>
          <w:marTop w:val="0"/>
          <w:marBottom w:val="0"/>
          <w:divBdr>
            <w:top w:val="none" w:sz="0" w:space="0" w:color="auto"/>
            <w:left w:val="none" w:sz="0" w:space="0" w:color="auto"/>
            <w:bottom w:val="none" w:sz="0" w:space="0" w:color="auto"/>
            <w:right w:val="none" w:sz="0" w:space="0" w:color="auto"/>
          </w:divBdr>
        </w:div>
        <w:div w:id="474219073">
          <w:marLeft w:val="1742"/>
          <w:marRight w:val="0"/>
          <w:marTop w:val="0"/>
          <w:marBottom w:val="0"/>
          <w:divBdr>
            <w:top w:val="none" w:sz="0" w:space="0" w:color="auto"/>
            <w:left w:val="none" w:sz="0" w:space="0" w:color="auto"/>
            <w:bottom w:val="none" w:sz="0" w:space="0" w:color="auto"/>
            <w:right w:val="none" w:sz="0" w:space="0" w:color="auto"/>
          </w:divBdr>
        </w:div>
        <w:div w:id="270866454">
          <w:marLeft w:val="1742"/>
          <w:marRight w:val="0"/>
          <w:marTop w:val="0"/>
          <w:marBottom w:val="0"/>
          <w:divBdr>
            <w:top w:val="none" w:sz="0" w:space="0" w:color="auto"/>
            <w:left w:val="none" w:sz="0" w:space="0" w:color="auto"/>
            <w:bottom w:val="none" w:sz="0" w:space="0" w:color="auto"/>
            <w:right w:val="none" w:sz="0" w:space="0" w:color="auto"/>
          </w:divBdr>
        </w:div>
        <w:div w:id="597055635">
          <w:marLeft w:val="1742"/>
          <w:marRight w:val="0"/>
          <w:marTop w:val="0"/>
          <w:marBottom w:val="0"/>
          <w:divBdr>
            <w:top w:val="none" w:sz="0" w:space="0" w:color="auto"/>
            <w:left w:val="none" w:sz="0" w:space="0" w:color="auto"/>
            <w:bottom w:val="none" w:sz="0" w:space="0" w:color="auto"/>
            <w:right w:val="none" w:sz="0" w:space="0" w:color="auto"/>
          </w:divBdr>
        </w:div>
        <w:div w:id="356278639">
          <w:marLeft w:val="1742"/>
          <w:marRight w:val="0"/>
          <w:marTop w:val="0"/>
          <w:marBottom w:val="0"/>
          <w:divBdr>
            <w:top w:val="none" w:sz="0" w:space="0" w:color="auto"/>
            <w:left w:val="none" w:sz="0" w:space="0" w:color="auto"/>
            <w:bottom w:val="none" w:sz="0" w:space="0" w:color="auto"/>
            <w:right w:val="none" w:sz="0" w:space="0" w:color="auto"/>
          </w:divBdr>
        </w:div>
        <w:div w:id="315300724">
          <w:marLeft w:val="1742"/>
          <w:marRight w:val="0"/>
          <w:marTop w:val="0"/>
          <w:marBottom w:val="0"/>
          <w:divBdr>
            <w:top w:val="none" w:sz="0" w:space="0" w:color="auto"/>
            <w:left w:val="none" w:sz="0" w:space="0" w:color="auto"/>
            <w:bottom w:val="none" w:sz="0" w:space="0" w:color="auto"/>
            <w:right w:val="none" w:sz="0" w:space="0" w:color="auto"/>
          </w:divBdr>
        </w:div>
      </w:divsChild>
    </w:div>
    <w:div w:id="1137451871">
      <w:bodyDiv w:val="1"/>
      <w:marLeft w:val="0"/>
      <w:marRight w:val="0"/>
      <w:marTop w:val="0"/>
      <w:marBottom w:val="0"/>
      <w:divBdr>
        <w:top w:val="none" w:sz="0" w:space="0" w:color="auto"/>
        <w:left w:val="none" w:sz="0" w:space="0" w:color="auto"/>
        <w:bottom w:val="none" w:sz="0" w:space="0" w:color="auto"/>
        <w:right w:val="none" w:sz="0" w:space="0" w:color="auto"/>
      </w:divBdr>
      <w:divsChild>
        <w:div w:id="769355323">
          <w:marLeft w:val="706"/>
          <w:marRight w:val="0"/>
          <w:marTop w:val="0"/>
          <w:marBottom w:val="0"/>
          <w:divBdr>
            <w:top w:val="none" w:sz="0" w:space="0" w:color="auto"/>
            <w:left w:val="none" w:sz="0" w:space="0" w:color="auto"/>
            <w:bottom w:val="none" w:sz="0" w:space="0" w:color="auto"/>
            <w:right w:val="none" w:sz="0" w:space="0" w:color="auto"/>
          </w:divBdr>
        </w:div>
        <w:div w:id="69037100">
          <w:marLeft w:val="1296"/>
          <w:marRight w:val="0"/>
          <w:marTop w:val="0"/>
          <w:marBottom w:val="0"/>
          <w:divBdr>
            <w:top w:val="none" w:sz="0" w:space="0" w:color="auto"/>
            <w:left w:val="none" w:sz="0" w:space="0" w:color="auto"/>
            <w:bottom w:val="none" w:sz="0" w:space="0" w:color="auto"/>
            <w:right w:val="none" w:sz="0" w:space="0" w:color="auto"/>
          </w:divBdr>
        </w:div>
        <w:div w:id="1825467234">
          <w:marLeft w:val="1296"/>
          <w:marRight w:val="0"/>
          <w:marTop w:val="0"/>
          <w:marBottom w:val="0"/>
          <w:divBdr>
            <w:top w:val="none" w:sz="0" w:space="0" w:color="auto"/>
            <w:left w:val="none" w:sz="0" w:space="0" w:color="auto"/>
            <w:bottom w:val="none" w:sz="0" w:space="0" w:color="auto"/>
            <w:right w:val="none" w:sz="0" w:space="0" w:color="auto"/>
          </w:divBdr>
        </w:div>
        <w:div w:id="940067531">
          <w:marLeft w:val="1296"/>
          <w:marRight w:val="0"/>
          <w:marTop w:val="0"/>
          <w:marBottom w:val="0"/>
          <w:divBdr>
            <w:top w:val="none" w:sz="0" w:space="0" w:color="auto"/>
            <w:left w:val="none" w:sz="0" w:space="0" w:color="auto"/>
            <w:bottom w:val="none" w:sz="0" w:space="0" w:color="auto"/>
            <w:right w:val="none" w:sz="0" w:space="0" w:color="auto"/>
          </w:divBdr>
        </w:div>
        <w:div w:id="2123104822">
          <w:marLeft w:val="1296"/>
          <w:marRight w:val="0"/>
          <w:marTop w:val="0"/>
          <w:marBottom w:val="0"/>
          <w:divBdr>
            <w:top w:val="none" w:sz="0" w:space="0" w:color="auto"/>
            <w:left w:val="none" w:sz="0" w:space="0" w:color="auto"/>
            <w:bottom w:val="none" w:sz="0" w:space="0" w:color="auto"/>
            <w:right w:val="none" w:sz="0" w:space="0" w:color="auto"/>
          </w:divBdr>
        </w:div>
        <w:div w:id="1612544928">
          <w:marLeft w:val="1296"/>
          <w:marRight w:val="0"/>
          <w:marTop w:val="0"/>
          <w:marBottom w:val="0"/>
          <w:divBdr>
            <w:top w:val="none" w:sz="0" w:space="0" w:color="auto"/>
            <w:left w:val="none" w:sz="0" w:space="0" w:color="auto"/>
            <w:bottom w:val="none" w:sz="0" w:space="0" w:color="auto"/>
            <w:right w:val="none" w:sz="0" w:space="0" w:color="auto"/>
          </w:divBdr>
        </w:div>
        <w:div w:id="1729644346">
          <w:marLeft w:val="706"/>
          <w:marRight w:val="0"/>
          <w:marTop w:val="0"/>
          <w:marBottom w:val="0"/>
          <w:divBdr>
            <w:top w:val="none" w:sz="0" w:space="0" w:color="auto"/>
            <w:left w:val="none" w:sz="0" w:space="0" w:color="auto"/>
            <w:bottom w:val="none" w:sz="0" w:space="0" w:color="auto"/>
            <w:right w:val="none" w:sz="0" w:space="0" w:color="auto"/>
          </w:divBdr>
        </w:div>
        <w:div w:id="546263413">
          <w:marLeft w:val="706"/>
          <w:marRight w:val="0"/>
          <w:marTop w:val="0"/>
          <w:marBottom w:val="0"/>
          <w:divBdr>
            <w:top w:val="none" w:sz="0" w:space="0" w:color="auto"/>
            <w:left w:val="none" w:sz="0" w:space="0" w:color="auto"/>
            <w:bottom w:val="none" w:sz="0" w:space="0" w:color="auto"/>
            <w:right w:val="none" w:sz="0" w:space="0" w:color="auto"/>
          </w:divBdr>
        </w:div>
        <w:div w:id="543519120">
          <w:marLeft w:val="1296"/>
          <w:marRight w:val="0"/>
          <w:marTop w:val="0"/>
          <w:marBottom w:val="0"/>
          <w:divBdr>
            <w:top w:val="none" w:sz="0" w:space="0" w:color="auto"/>
            <w:left w:val="none" w:sz="0" w:space="0" w:color="auto"/>
            <w:bottom w:val="none" w:sz="0" w:space="0" w:color="auto"/>
            <w:right w:val="none" w:sz="0" w:space="0" w:color="auto"/>
          </w:divBdr>
        </w:div>
        <w:div w:id="1131825883">
          <w:marLeft w:val="1296"/>
          <w:marRight w:val="0"/>
          <w:marTop w:val="0"/>
          <w:marBottom w:val="0"/>
          <w:divBdr>
            <w:top w:val="none" w:sz="0" w:space="0" w:color="auto"/>
            <w:left w:val="none" w:sz="0" w:space="0" w:color="auto"/>
            <w:bottom w:val="none" w:sz="0" w:space="0" w:color="auto"/>
            <w:right w:val="none" w:sz="0" w:space="0" w:color="auto"/>
          </w:divBdr>
        </w:div>
      </w:divsChild>
    </w:div>
    <w:div w:id="1233395329">
      <w:bodyDiv w:val="1"/>
      <w:marLeft w:val="0"/>
      <w:marRight w:val="0"/>
      <w:marTop w:val="0"/>
      <w:marBottom w:val="0"/>
      <w:divBdr>
        <w:top w:val="none" w:sz="0" w:space="0" w:color="auto"/>
        <w:left w:val="none" w:sz="0" w:space="0" w:color="auto"/>
        <w:bottom w:val="none" w:sz="0" w:space="0" w:color="auto"/>
        <w:right w:val="none" w:sz="0" w:space="0" w:color="auto"/>
      </w:divBdr>
      <w:divsChild>
        <w:div w:id="2003311381">
          <w:marLeft w:val="706"/>
          <w:marRight w:val="0"/>
          <w:marTop w:val="0"/>
          <w:marBottom w:val="0"/>
          <w:divBdr>
            <w:top w:val="none" w:sz="0" w:space="0" w:color="auto"/>
            <w:left w:val="none" w:sz="0" w:space="0" w:color="auto"/>
            <w:bottom w:val="none" w:sz="0" w:space="0" w:color="auto"/>
            <w:right w:val="none" w:sz="0" w:space="0" w:color="auto"/>
          </w:divBdr>
        </w:div>
        <w:div w:id="382605961">
          <w:marLeft w:val="706"/>
          <w:marRight w:val="0"/>
          <w:marTop w:val="0"/>
          <w:marBottom w:val="0"/>
          <w:divBdr>
            <w:top w:val="none" w:sz="0" w:space="0" w:color="auto"/>
            <w:left w:val="none" w:sz="0" w:space="0" w:color="auto"/>
            <w:bottom w:val="none" w:sz="0" w:space="0" w:color="auto"/>
            <w:right w:val="none" w:sz="0" w:space="0" w:color="auto"/>
          </w:divBdr>
        </w:div>
        <w:div w:id="84570180">
          <w:marLeft w:val="1296"/>
          <w:marRight w:val="0"/>
          <w:marTop w:val="0"/>
          <w:marBottom w:val="0"/>
          <w:divBdr>
            <w:top w:val="none" w:sz="0" w:space="0" w:color="auto"/>
            <w:left w:val="none" w:sz="0" w:space="0" w:color="auto"/>
            <w:bottom w:val="none" w:sz="0" w:space="0" w:color="auto"/>
            <w:right w:val="none" w:sz="0" w:space="0" w:color="auto"/>
          </w:divBdr>
        </w:div>
        <w:div w:id="2029715701">
          <w:marLeft w:val="1296"/>
          <w:marRight w:val="0"/>
          <w:marTop w:val="0"/>
          <w:marBottom w:val="0"/>
          <w:divBdr>
            <w:top w:val="none" w:sz="0" w:space="0" w:color="auto"/>
            <w:left w:val="none" w:sz="0" w:space="0" w:color="auto"/>
            <w:bottom w:val="none" w:sz="0" w:space="0" w:color="auto"/>
            <w:right w:val="none" w:sz="0" w:space="0" w:color="auto"/>
          </w:divBdr>
        </w:div>
        <w:div w:id="815336683">
          <w:marLeft w:val="1296"/>
          <w:marRight w:val="0"/>
          <w:marTop w:val="0"/>
          <w:marBottom w:val="0"/>
          <w:divBdr>
            <w:top w:val="none" w:sz="0" w:space="0" w:color="auto"/>
            <w:left w:val="none" w:sz="0" w:space="0" w:color="auto"/>
            <w:bottom w:val="none" w:sz="0" w:space="0" w:color="auto"/>
            <w:right w:val="none" w:sz="0" w:space="0" w:color="auto"/>
          </w:divBdr>
        </w:div>
        <w:div w:id="843209116">
          <w:marLeft w:val="1296"/>
          <w:marRight w:val="0"/>
          <w:marTop w:val="0"/>
          <w:marBottom w:val="0"/>
          <w:divBdr>
            <w:top w:val="none" w:sz="0" w:space="0" w:color="auto"/>
            <w:left w:val="none" w:sz="0" w:space="0" w:color="auto"/>
            <w:bottom w:val="none" w:sz="0" w:space="0" w:color="auto"/>
            <w:right w:val="none" w:sz="0" w:space="0" w:color="auto"/>
          </w:divBdr>
        </w:div>
      </w:divsChild>
    </w:div>
    <w:div w:id="1248077540">
      <w:bodyDiv w:val="1"/>
      <w:marLeft w:val="0"/>
      <w:marRight w:val="0"/>
      <w:marTop w:val="0"/>
      <w:marBottom w:val="0"/>
      <w:divBdr>
        <w:top w:val="none" w:sz="0" w:space="0" w:color="auto"/>
        <w:left w:val="none" w:sz="0" w:space="0" w:color="auto"/>
        <w:bottom w:val="none" w:sz="0" w:space="0" w:color="auto"/>
        <w:right w:val="none" w:sz="0" w:space="0" w:color="auto"/>
      </w:divBdr>
      <w:divsChild>
        <w:div w:id="388579514">
          <w:marLeft w:val="706"/>
          <w:marRight w:val="0"/>
          <w:marTop w:val="0"/>
          <w:marBottom w:val="0"/>
          <w:divBdr>
            <w:top w:val="none" w:sz="0" w:space="0" w:color="auto"/>
            <w:left w:val="none" w:sz="0" w:space="0" w:color="auto"/>
            <w:bottom w:val="none" w:sz="0" w:space="0" w:color="auto"/>
            <w:right w:val="none" w:sz="0" w:space="0" w:color="auto"/>
          </w:divBdr>
        </w:div>
        <w:div w:id="1008874220">
          <w:marLeft w:val="1296"/>
          <w:marRight w:val="0"/>
          <w:marTop w:val="0"/>
          <w:marBottom w:val="0"/>
          <w:divBdr>
            <w:top w:val="none" w:sz="0" w:space="0" w:color="auto"/>
            <w:left w:val="none" w:sz="0" w:space="0" w:color="auto"/>
            <w:bottom w:val="none" w:sz="0" w:space="0" w:color="auto"/>
            <w:right w:val="none" w:sz="0" w:space="0" w:color="auto"/>
          </w:divBdr>
        </w:div>
        <w:div w:id="638147780">
          <w:marLeft w:val="1296"/>
          <w:marRight w:val="0"/>
          <w:marTop w:val="0"/>
          <w:marBottom w:val="0"/>
          <w:divBdr>
            <w:top w:val="none" w:sz="0" w:space="0" w:color="auto"/>
            <w:left w:val="none" w:sz="0" w:space="0" w:color="auto"/>
            <w:bottom w:val="none" w:sz="0" w:space="0" w:color="auto"/>
            <w:right w:val="none" w:sz="0" w:space="0" w:color="auto"/>
          </w:divBdr>
        </w:div>
        <w:div w:id="1647928183">
          <w:marLeft w:val="1296"/>
          <w:marRight w:val="0"/>
          <w:marTop w:val="0"/>
          <w:marBottom w:val="0"/>
          <w:divBdr>
            <w:top w:val="none" w:sz="0" w:space="0" w:color="auto"/>
            <w:left w:val="none" w:sz="0" w:space="0" w:color="auto"/>
            <w:bottom w:val="none" w:sz="0" w:space="0" w:color="auto"/>
            <w:right w:val="none" w:sz="0" w:space="0" w:color="auto"/>
          </w:divBdr>
        </w:div>
        <w:div w:id="2043896252">
          <w:marLeft w:val="1296"/>
          <w:marRight w:val="0"/>
          <w:marTop w:val="0"/>
          <w:marBottom w:val="0"/>
          <w:divBdr>
            <w:top w:val="none" w:sz="0" w:space="0" w:color="auto"/>
            <w:left w:val="none" w:sz="0" w:space="0" w:color="auto"/>
            <w:bottom w:val="none" w:sz="0" w:space="0" w:color="auto"/>
            <w:right w:val="none" w:sz="0" w:space="0" w:color="auto"/>
          </w:divBdr>
        </w:div>
        <w:div w:id="83964246">
          <w:marLeft w:val="1296"/>
          <w:marRight w:val="0"/>
          <w:marTop w:val="0"/>
          <w:marBottom w:val="0"/>
          <w:divBdr>
            <w:top w:val="none" w:sz="0" w:space="0" w:color="auto"/>
            <w:left w:val="none" w:sz="0" w:space="0" w:color="auto"/>
            <w:bottom w:val="none" w:sz="0" w:space="0" w:color="auto"/>
            <w:right w:val="none" w:sz="0" w:space="0" w:color="auto"/>
          </w:divBdr>
        </w:div>
        <w:div w:id="1105154159">
          <w:marLeft w:val="1296"/>
          <w:marRight w:val="0"/>
          <w:marTop w:val="0"/>
          <w:marBottom w:val="0"/>
          <w:divBdr>
            <w:top w:val="none" w:sz="0" w:space="0" w:color="auto"/>
            <w:left w:val="none" w:sz="0" w:space="0" w:color="auto"/>
            <w:bottom w:val="none" w:sz="0" w:space="0" w:color="auto"/>
            <w:right w:val="none" w:sz="0" w:space="0" w:color="auto"/>
          </w:divBdr>
        </w:div>
      </w:divsChild>
    </w:div>
    <w:div w:id="1658682936">
      <w:bodyDiv w:val="1"/>
      <w:marLeft w:val="0"/>
      <w:marRight w:val="0"/>
      <w:marTop w:val="0"/>
      <w:marBottom w:val="0"/>
      <w:divBdr>
        <w:top w:val="none" w:sz="0" w:space="0" w:color="auto"/>
        <w:left w:val="none" w:sz="0" w:space="0" w:color="auto"/>
        <w:bottom w:val="none" w:sz="0" w:space="0" w:color="auto"/>
        <w:right w:val="none" w:sz="0" w:space="0" w:color="auto"/>
      </w:divBdr>
      <w:divsChild>
        <w:div w:id="808085007">
          <w:marLeft w:val="706"/>
          <w:marRight w:val="0"/>
          <w:marTop w:val="0"/>
          <w:marBottom w:val="0"/>
          <w:divBdr>
            <w:top w:val="none" w:sz="0" w:space="0" w:color="auto"/>
            <w:left w:val="none" w:sz="0" w:space="0" w:color="auto"/>
            <w:bottom w:val="none" w:sz="0" w:space="0" w:color="auto"/>
            <w:right w:val="none" w:sz="0" w:space="0" w:color="auto"/>
          </w:divBdr>
        </w:div>
        <w:div w:id="2070028784">
          <w:marLeft w:val="1296"/>
          <w:marRight w:val="0"/>
          <w:marTop w:val="0"/>
          <w:marBottom w:val="0"/>
          <w:divBdr>
            <w:top w:val="none" w:sz="0" w:space="0" w:color="auto"/>
            <w:left w:val="none" w:sz="0" w:space="0" w:color="auto"/>
            <w:bottom w:val="none" w:sz="0" w:space="0" w:color="auto"/>
            <w:right w:val="none" w:sz="0" w:space="0" w:color="auto"/>
          </w:divBdr>
        </w:div>
        <w:div w:id="2058164024">
          <w:marLeft w:val="1296"/>
          <w:marRight w:val="0"/>
          <w:marTop w:val="0"/>
          <w:marBottom w:val="0"/>
          <w:divBdr>
            <w:top w:val="none" w:sz="0" w:space="0" w:color="auto"/>
            <w:left w:val="none" w:sz="0" w:space="0" w:color="auto"/>
            <w:bottom w:val="none" w:sz="0" w:space="0" w:color="auto"/>
            <w:right w:val="none" w:sz="0" w:space="0" w:color="auto"/>
          </w:divBdr>
        </w:div>
        <w:div w:id="1029642320">
          <w:marLeft w:val="1296"/>
          <w:marRight w:val="0"/>
          <w:marTop w:val="0"/>
          <w:marBottom w:val="0"/>
          <w:divBdr>
            <w:top w:val="none" w:sz="0" w:space="0" w:color="auto"/>
            <w:left w:val="none" w:sz="0" w:space="0" w:color="auto"/>
            <w:bottom w:val="none" w:sz="0" w:space="0" w:color="auto"/>
            <w:right w:val="none" w:sz="0" w:space="0" w:color="auto"/>
          </w:divBdr>
        </w:div>
        <w:div w:id="1466004335">
          <w:marLeft w:val="1742"/>
          <w:marRight w:val="0"/>
          <w:marTop w:val="0"/>
          <w:marBottom w:val="0"/>
          <w:divBdr>
            <w:top w:val="none" w:sz="0" w:space="0" w:color="auto"/>
            <w:left w:val="none" w:sz="0" w:space="0" w:color="auto"/>
            <w:bottom w:val="none" w:sz="0" w:space="0" w:color="auto"/>
            <w:right w:val="none" w:sz="0" w:space="0" w:color="auto"/>
          </w:divBdr>
        </w:div>
        <w:div w:id="179902574">
          <w:marLeft w:val="1742"/>
          <w:marRight w:val="0"/>
          <w:marTop w:val="0"/>
          <w:marBottom w:val="0"/>
          <w:divBdr>
            <w:top w:val="none" w:sz="0" w:space="0" w:color="auto"/>
            <w:left w:val="none" w:sz="0" w:space="0" w:color="auto"/>
            <w:bottom w:val="none" w:sz="0" w:space="0" w:color="auto"/>
            <w:right w:val="none" w:sz="0" w:space="0" w:color="auto"/>
          </w:divBdr>
        </w:div>
        <w:div w:id="896554222">
          <w:marLeft w:val="1742"/>
          <w:marRight w:val="0"/>
          <w:marTop w:val="0"/>
          <w:marBottom w:val="0"/>
          <w:divBdr>
            <w:top w:val="none" w:sz="0" w:space="0" w:color="auto"/>
            <w:left w:val="none" w:sz="0" w:space="0" w:color="auto"/>
            <w:bottom w:val="none" w:sz="0" w:space="0" w:color="auto"/>
            <w:right w:val="none" w:sz="0" w:space="0" w:color="auto"/>
          </w:divBdr>
        </w:div>
      </w:divsChild>
    </w:div>
    <w:div w:id="1857310968">
      <w:bodyDiv w:val="1"/>
      <w:marLeft w:val="0"/>
      <w:marRight w:val="0"/>
      <w:marTop w:val="0"/>
      <w:marBottom w:val="0"/>
      <w:divBdr>
        <w:top w:val="none" w:sz="0" w:space="0" w:color="auto"/>
        <w:left w:val="none" w:sz="0" w:space="0" w:color="auto"/>
        <w:bottom w:val="none" w:sz="0" w:space="0" w:color="auto"/>
        <w:right w:val="none" w:sz="0" w:space="0" w:color="auto"/>
      </w:divBdr>
      <w:divsChild>
        <w:div w:id="1791780911">
          <w:marLeft w:val="706"/>
          <w:marRight w:val="0"/>
          <w:marTop w:val="0"/>
          <w:marBottom w:val="0"/>
          <w:divBdr>
            <w:top w:val="none" w:sz="0" w:space="0" w:color="auto"/>
            <w:left w:val="none" w:sz="0" w:space="0" w:color="auto"/>
            <w:bottom w:val="none" w:sz="0" w:space="0" w:color="auto"/>
            <w:right w:val="none" w:sz="0" w:space="0" w:color="auto"/>
          </w:divBdr>
        </w:div>
        <w:div w:id="1737438553">
          <w:marLeft w:val="1296"/>
          <w:marRight w:val="0"/>
          <w:marTop w:val="0"/>
          <w:marBottom w:val="0"/>
          <w:divBdr>
            <w:top w:val="none" w:sz="0" w:space="0" w:color="auto"/>
            <w:left w:val="none" w:sz="0" w:space="0" w:color="auto"/>
            <w:bottom w:val="none" w:sz="0" w:space="0" w:color="auto"/>
            <w:right w:val="none" w:sz="0" w:space="0" w:color="auto"/>
          </w:divBdr>
        </w:div>
        <w:div w:id="890922380">
          <w:marLeft w:val="1296"/>
          <w:marRight w:val="0"/>
          <w:marTop w:val="0"/>
          <w:marBottom w:val="0"/>
          <w:divBdr>
            <w:top w:val="none" w:sz="0" w:space="0" w:color="auto"/>
            <w:left w:val="none" w:sz="0" w:space="0" w:color="auto"/>
            <w:bottom w:val="none" w:sz="0" w:space="0" w:color="auto"/>
            <w:right w:val="none" w:sz="0" w:space="0" w:color="auto"/>
          </w:divBdr>
        </w:div>
        <w:div w:id="1478064291">
          <w:marLeft w:val="1296"/>
          <w:marRight w:val="0"/>
          <w:marTop w:val="0"/>
          <w:marBottom w:val="0"/>
          <w:divBdr>
            <w:top w:val="none" w:sz="0" w:space="0" w:color="auto"/>
            <w:left w:val="none" w:sz="0" w:space="0" w:color="auto"/>
            <w:bottom w:val="none" w:sz="0" w:space="0" w:color="auto"/>
            <w:right w:val="none" w:sz="0" w:space="0" w:color="auto"/>
          </w:divBdr>
        </w:div>
        <w:div w:id="542058693">
          <w:marLeft w:val="1296"/>
          <w:marRight w:val="0"/>
          <w:marTop w:val="0"/>
          <w:marBottom w:val="0"/>
          <w:divBdr>
            <w:top w:val="none" w:sz="0" w:space="0" w:color="auto"/>
            <w:left w:val="none" w:sz="0" w:space="0" w:color="auto"/>
            <w:bottom w:val="none" w:sz="0" w:space="0" w:color="auto"/>
            <w:right w:val="none" w:sz="0" w:space="0" w:color="auto"/>
          </w:divBdr>
        </w:div>
        <w:div w:id="579481716">
          <w:marLeft w:val="1296"/>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webSettings" Target="webSetting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1524</Words>
  <Characters>8692</Characters>
  <Application>Microsoft Macintosh Word</Application>
  <DocSecurity>0</DocSecurity>
  <Lines>72</Lines>
  <Paragraphs>17</Paragraphs>
  <ScaleCrop>false</ScaleCrop>
  <Company>Cornell University</Company>
  <LinksUpToDate>false</LinksUpToDate>
  <CharactersWithSpaces>10674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Menard</dc:creator>
  <cp:keywords/>
  <cp:lastModifiedBy>Julie Menard</cp:lastModifiedBy>
  <cp:revision>3</cp:revision>
  <dcterms:created xsi:type="dcterms:W3CDTF">2010-10-03T15:12:00Z</dcterms:created>
  <dcterms:modified xsi:type="dcterms:W3CDTF">2010-10-04T21:09:00Z</dcterms:modified>
</cp:coreProperties>
</file>