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3B" w:rsidRPr="00FF4A3B" w:rsidRDefault="00FF4A3B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spellStart"/>
      <w:r w:rsidRPr="00FF4A3B">
        <w:rPr>
          <w:rFonts w:cstheme="minorHAnsi"/>
          <w:bCs/>
          <w:sz w:val="19"/>
          <w:szCs w:val="19"/>
        </w:rPr>
        <w:t>Crit</w:t>
      </w:r>
      <w:proofErr w:type="spellEnd"/>
      <w:r w:rsidRPr="00FF4A3B">
        <w:rPr>
          <w:rFonts w:cstheme="minorHAnsi"/>
          <w:bCs/>
          <w:sz w:val="19"/>
          <w:szCs w:val="19"/>
        </w:rPr>
        <w:t xml:space="preserve"> Care Med 2011</w:t>
      </w:r>
      <w:proofErr w:type="gramStart"/>
      <w:r w:rsidRPr="00FF4A3B">
        <w:rPr>
          <w:rFonts w:cstheme="minorHAnsi"/>
          <w:bCs/>
          <w:sz w:val="19"/>
          <w:szCs w:val="19"/>
        </w:rPr>
        <w:t>;39:259</w:t>
      </w:r>
      <w:proofErr w:type="gramEnd"/>
      <w:r w:rsidRPr="00FF4A3B">
        <w:rPr>
          <w:rFonts w:cstheme="minorHAnsi"/>
          <w:bCs/>
          <w:sz w:val="19"/>
          <w:szCs w:val="19"/>
        </w:rPr>
        <w:t xml:space="preserve"> –265)</w:t>
      </w:r>
    </w:p>
    <w:p w:rsidR="00CB35D8" w:rsidRPr="00FF4A3B" w:rsidRDefault="00CB35D8" w:rsidP="00FF4A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F4A3B">
        <w:rPr>
          <w:rFonts w:cstheme="minorHAnsi"/>
          <w:b/>
          <w:bCs/>
          <w:sz w:val="28"/>
          <w:szCs w:val="28"/>
        </w:rPr>
        <w:t>Fluid resuscitation in septic shock: A positive fluid balance and</w:t>
      </w:r>
    </w:p>
    <w:p w:rsidR="00CB35D8" w:rsidRPr="00FF4A3B" w:rsidRDefault="00CB35D8" w:rsidP="00FF4A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proofErr w:type="gramStart"/>
      <w:r w:rsidRPr="00FF4A3B">
        <w:rPr>
          <w:rFonts w:cstheme="minorHAnsi"/>
          <w:b/>
          <w:bCs/>
          <w:sz w:val="28"/>
          <w:szCs w:val="28"/>
        </w:rPr>
        <w:t>elevated</w:t>
      </w:r>
      <w:proofErr w:type="gramEnd"/>
      <w:r w:rsidRPr="00FF4A3B">
        <w:rPr>
          <w:rFonts w:cstheme="minorHAnsi"/>
          <w:b/>
          <w:bCs/>
          <w:sz w:val="28"/>
          <w:szCs w:val="28"/>
        </w:rPr>
        <w:t xml:space="preserve"> central venous pressure are associated with increased</w:t>
      </w:r>
      <w:r w:rsidR="00FF4A3B" w:rsidRPr="00FF4A3B">
        <w:rPr>
          <w:rFonts w:cstheme="minorHAnsi"/>
          <w:b/>
          <w:bCs/>
          <w:sz w:val="28"/>
          <w:szCs w:val="28"/>
        </w:rPr>
        <w:t xml:space="preserve"> mortality</w:t>
      </w:r>
    </w:p>
    <w:p w:rsidR="00CB35D8" w:rsidRPr="00FF4A3B" w:rsidRDefault="00CB35D8" w:rsidP="00FF4A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FF4A3B">
        <w:rPr>
          <w:rFonts w:cstheme="minorHAnsi"/>
          <w:sz w:val="20"/>
          <w:szCs w:val="20"/>
        </w:rPr>
        <w:t>John H. Boyd, MD, FRCP(C); Jason Forbes, MD; Taka-</w:t>
      </w:r>
      <w:proofErr w:type="spellStart"/>
      <w:r w:rsidRPr="00FF4A3B">
        <w:rPr>
          <w:rFonts w:cstheme="minorHAnsi"/>
          <w:sz w:val="20"/>
          <w:szCs w:val="20"/>
        </w:rPr>
        <w:t>aki</w:t>
      </w:r>
      <w:proofErr w:type="spellEnd"/>
      <w:r w:rsidRPr="00FF4A3B">
        <w:rPr>
          <w:rFonts w:cstheme="minorHAnsi"/>
          <w:sz w:val="20"/>
          <w:szCs w:val="20"/>
        </w:rPr>
        <w:t xml:space="preserve"> </w:t>
      </w:r>
      <w:proofErr w:type="spellStart"/>
      <w:r w:rsidRPr="00FF4A3B">
        <w:rPr>
          <w:rFonts w:cstheme="minorHAnsi"/>
          <w:sz w:val="20"/>
          <w:szCs w:val="20"/>
        </w:rPr>
        <w:t>Nakada</w:t>
      </w:r>
      <w:proofErr w:type="spellEnd"/>
      <w:r w:rsidRPr="00FF4A3B">
        <w:rPr>
          <w:rFonts w:cstheme="minorHAnsi"/>
          <w:sz w:val="20"/>
          <w:szCs w:val="20"/>
        </w:rPr>
        <w:t xml:space="preserve">, MD, PhD; Keith R. </w:t>
      </w:r>
      <w:proofErr w:type="spellStart"/>
      <w:r w:rsidRPr="00FF4A3B">
        <w:rPr>
          <w:rFonts w:cstheme="minorHAnsi"/>
          <w:sz w:val="20"/>
          <w:szCs w:val="20"/>
        </w:rPr>
        <w:t>Walley</w:t>
      </w:r>
      <w:proofErr w:type="spellEnd"/>
      <w:r w:rsidRPr="00FF4A3B">
        <w:rPr>
          <w:rFonts w:cstheme="minorHAnsi"/>
          <w:sz w:val="20"/>
          <w:szCs w:val="20"/>
        </w:rPr>
        <w:t>, MD, FRCP(C);</w:t>
      </w:r>
      <w:r w:rsidR="00FF4A3B" w:rsidRPr="00FF4A3B">
        <w:rPr>
          <w:rFonts w:cstheme="minorHAnsi"/>
          <w:sz w:val="20"/>
          <w:szCs w:val="20"/>
        </w:rPr>
        <w:t xml:space="preserve"> </w:t>
      </w:r>
      <w:r w:rsidRPr="00FF4A3B">
        <w:rPr>
          <w:rFonts w:cstheme="minorHAnsi"/>
          <w:sz w:val="20"/>
          <w:szCs w:val="20"/>
        </w:rPr>
        <w:t>James A. Russell, MD, FRCP(C)</w:t>
      </w:r>
    </w:p>
    <w:p w:rsidR="00E54869" w:rsidRDefault="00E54869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19"/>
          <w:szCs w:val="19"/>
        </w:rPr>
      </w:pP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Objective: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To determine whether central venous pressure and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fluid balance after resuscitation for septic shock are associated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with mortality.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Design: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We conducted a retrospective review of the use of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intravenous fluids during the first 4 days of care.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Setting: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Multicenter randomized controlled trial.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Patients: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The Vasopressin in Septic Shock Trial (VASST) study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enrolled 778 patients who had septic shock and who were receiving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 xml:space="preserve">a minimum of 5 </w:t>
      </w:r>
      <w:r w:rsidRPr="00FF4A3B">
        <w:rPr>
          <w:rFonts w:cstheme="minorHAnsi"/>
          <w:sz w:val="19"/>
          <w:szCs w:val="19"/>
        </w:rPr>
        <w:t>_</w:t>
      </w:r>
      <w:r w:rsidRPr="00FF4A3B">
        <w:rPr>
          <w:rFonts w:cstheme="minorHAnsi"/>
          <w:bCs/>
          <w:sz w:val="19"/>
          <w:szCs w:val="19"/>
        </w:rPr>
        <w:t xml:space="preserve">g of </w:t>
      </w:r>
      <w:proofErr w:type="spellStart"/>
      <w:r w:rsidRPr="00FF4A3B">
        <w:rPr>
          <w:rFonts w:cstheme="minorHAnsi"/>
          <w:bCs/>
          <w:sz w:val="19"/>
          <w:szCs w:val="19"/>
        </w:rPr>
        <w:t>norepinephrine</w:t>
      </w:r>
      <w:proofErr w:type="spellEnd"/>
      <w:r w:rsidRPr="00FF4A3B">
        <w:rPr>
          <w:rFonts w:cstheme="minorHAnsi"/>
          <w:bCs/>
          <w:sz w:val="19"/>
          <w:szCs w:val="19"/>
        </w:rPr>
        <w:t xml:space="preserve"> per minute.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Interventions: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None.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Measurements and Main Results: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Based on net fluid balance,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we determined whether one’s fluid balance quartile was correlated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with 28-day mortality. We also analyzed whether fluid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balance was predictive of central venous pressure and furthermore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whether a guideline-recommended central venous pressure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of 8–12 mm Hg yielded a mortality advantage. At enrollment,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which occurred on average 12 hrs after presentation, the average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 xml:space="preserve">fluid balance was </w:t>
      </w:r>
      <w:r w:rsidRPr="00FF4A3B">
        <w:rPr>
          <w:rFonts w:cstheme="minorHAnsi"/>
          <w:sz w:val="19"/>
          <w:szCs w:val="19"/>
        </w:rPr>
        <w:t>_</w:t>
      </w:r>
      <w:r w:rsidRPr="00FF4A3B">
        <w:rPr>
          <w:rFonts w:cstheme="minorHAnsi"/>
          <w:bCs/>
          <w:sz w:val="19"/>
          <w:szCs w:val="19"/>
        </w:rPr>
        <w:t>4.2 L. By day 4, the cumulative average fluid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 xml:space="preserve">balance was </w:t>
      </w:r>
      <w:r w:rsidRPr="00FF4A3B">
        <w:rPr>
          <w:rFonts w:cstheme="minorHAnsi"/>
          <w:sz w:val="19"/>
          <w:szCs w:val="19"/>
        </w:rPr>
        <w:t>_</w:t>
      </w:r>
      <w:r w:rsidRPr="00FF4A3B">
        <w:rPr>
          <w:rFonts w:cstheme="minorHAnsi"/>
          <w:bCs/>
          <w:sz w:val="19"/>
          <w:szCs w:val="19"/>
        </w:rPr>
        <w:t>11 L. After correcting for age and Acute Physiology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and Chronic Health Evaluation II score, a more positive fluid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balance at both at 12 hrs and day 4 correlated significantly with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increased mortality. Central venous pressure was correlated with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fluid balance at 12 hrs, whereas on days 1–4, there was no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 xml:space="preserve">significant correlation. </w:t>
      </w:r>
      <w:proofErr w:type="gramStart"/>
      <w:r w:rsidRPr="00FF4A3B">
        <w:rPr>
          <w:rFonts w:cstheme="minorHAnsi"/>
          <w:bCs/>
          <w:sz w:val="19"/>
          <w:szCs w:val="19"/>
        </w:rPr>
        <w:t>At 12 hrs, patients with central venous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pressure &lt;8 mm Hg had the lowest mortality rate followed by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those with central venous pressure 8–12 mm Hg.</w:t>
      </w:r>
      <w:proofErr w:type="gramEnd"/>
      <w:r w:rsidRPr="00FF4A3B">
        <w:rPr>
          <w:rFonts w:cstheme="minorHAnsi"/>
          <w:bCs/>
          <w:sz w:val="19"/>
          <w:szCs w:val="19"/>
        </w:rPr>
        <w:t xml:space="preserve"> The highest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mortality rate was observed in those with central venous pressure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&gt;12 mm Hg. Contrary to the overall effect, patients whose central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venous pressure was &lt;8 mm Hg had improved survival with a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more positive fluid balance.</w:t>
      </w:r>
    </w:p>
    <w:p w:rsidR="00CB35D8" w:rsidRPr="00FF4A3B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FF4A3B">
        <w:rPr>
          <w:rFonts w:cstheme="minorHAnsi"/>
          <w:b/>
          <w:bCs/>
          <w:iCs/>
          <w:sz w:val="19"/>
          <w:szCs w:val="19"/>
        </w:rPr>
        <w:t>Conclusions</w:t>
      </w:r>
      <w:r w:rsidRPr="00FF4A3B">
        <w:rPr>
          <w:rFonts w:cstheme="minorHAnsi"/>
          <w:bCs/>
          <w:i/>
          <w:iCs/>
          <w:sz w:val="19"/>
          <w:szCs w:val="19"/>
        </w:rPr>
        <w:t xml:space="preserve">: </w:t>
      </w:r>
      <w:r w:rsidRPr="00FF4A3B">
        <w:rPr>
          <w:rFonts w:cstheme="minorHAnsi"/>
          <w:bCs/>
          <w:sz w:val="19"/>
          <w:szCs w:val="19"/>
        </w:rPr>
        <w:t>A more positive fluid balance both early in resuscitation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and cumulatively over 4 days is associated with an</w:t>
      </w:r>
    </w:p>
    <w:p w:rsidR="00CB35D8" w:rsidRDefault="00CB35D8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gramStart"/>
      <w:r w:rsidRPr="00FF4A3B">
        <w:rPr>
          <w:rFonts w:cstheme="minorHAnsi"/>
          <w:bCs/>
          <w:sz w:val="19"/>
          <w:szCs w:val="19"/>
        </w:rPr>
        <w:t>increased</w:t>
      </w:r>
      <w:proofErr w:type="gramEnd"/>
      <w:r w:rsidRPr="00FF4A3B">
        <w:rPr>
          <w:rFonts w:cstheme="minorHAnsi"/>
          <w:bCs/>
          <w:sz w:val="19"/>
          <w:szCs w:val="19"/>
        </w:rPr>
        <w:t xml:space="preserve"> risk of mortality in septic shock. Central venous pressure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 xml:space="preserve">may be used to gauge fluid balance </w:t>
      </w:r>
      <w:r w:rsidRPr="00FF4A3B">
        <w:rPr>
          <w:rFonts w:cstheme="minorHAnsi"/>
          <w:sz w:val="19"/>
          <w:szCs w:val="19"/>
        </w:rPr>
        <w:t>&lt;</w:t>
      </w:r>
      <w:r w:rsidRPr="00FF4A3B">
        <w:rPr>
          <w:rFonts w:cstheme="minorHAnsi"/>
          <w:bCs/>
          <w:sz w:val="19"/>
          <w:szCs w:val="19"/>
        </w:rPr>
        <w:t>12 hrs into septic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shock but becomes an unreliable marker of fluid balance thereafter.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Optimal survival in the VASST study occurred with a positive</w:t>
      </w:r>
      <w:r w:rsidR="00FF4A3B">
        <w:rPr>
          <w:rFonts w:cstheme="minorHAnsi"/>
          <w:bCs/>
          <w:sz w:val="19"/>
          <w:szCs w:val="19"/>
        </w:rPr>
        <w:t xml:space="preserve"> </w:t>
      </w:r>
      <w:r w:rsidRPr="00FF4A3B">
        <w:rPr>
          <w:rFonts w:cstheme="minorHAnsi"/>
          <w:bCs/>
          <w:sz w:val="19"/>
          <w:szCs w:val="19"/>
        </w:rPr>
        <w:t>fluid balance of approximately 3 L at 12 hrs</w:t>
      </w:r>
    </w:p>
    <w:p w:rsidR="00E54869" w:rsidRDefault="00E54869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C34CB0" w:rsidRPr="00FF4A3B" w:rsidRDefault="003A48C4" w:rsidP="00C34CB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="00C34CB0" w:rsidRPr="00C34CB0">
        <w:rPr>
          <w:rFonts w:cstheme="minorHAnsi"/>
          <w:bCs/>
          <w:sz w:val="19"/>
          <w:szCs w:val="19"/>
        </w:rPr>
        <w:t xml:space="preserve"> </w:t>
      </w:r>
      <w:r w:rsidR="00C34CB0" w:rsidRPr="00FF4A3B">
        <w:rPr>
          <w:rFonts w:cstheme="minorHAnsi"/>
          <w:bCs/>
          <w:sz w:val="19"/>
          <w:szCs w:val="19"/>
        </w:rPr>
        <w:t>A more positive fluid balance both early in resuscitation</w:t>
      </w:r>
      <w:r w:rsidR="00C34CB0">
        <w:rPr>
          <w:rFonts w:cstheme="minorHAnsi"/>
          <w:bCs/>
          <w:sz w:val="19"/>
          <w:szCs w:val="19"/>
        </w:rPr>
        <w:t xml:space="preserve"> </w:t>
      </w:r>
      <w:r w:rsidR="00C34CB0" w:rsidRPr="00FF4A3B">
        <w:rPr>
          <w:rFonts w:cstheme="minorHAnsi"/>
          <w:bCs/>
          <w:sz w:val="19"/>
          <w:szCs w:val="19"/>
        </w:rPr>
        <w:t>and cumulatively over 4 days is associated with an</w:t>
      </w:r>
    </w:p>
    <w:p w:rsidR="00E54869" w:rsidRDefault="00C34CB0" w:rsidP="00C34CB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gramStart"/>
      <w:r w:rsidRPr="00FF4A3B">
        <w:rPr>
          <w:rFonts w:cstheme="minorHAnsi"/>
          <w:bCs/>
          <w:sz w:val="19"/>
          <w:szCs w:val="19"/>
        </w:rPr>
        <w:t>increased</w:t>
      </w:r>
      <w:proofErr w:type="gramEnd"/>
      <w:r w:rsidRPr="00FF4A3B">
        <w:rPr>
          <w:rFonts w:cstheme="minorHAnsi"/>
          <w:bCs/>
          <w:sz w:val="19"/>
          <w:szCs w:val="19"/>
        </w:rPr>
        <w:t xml:space="preserve"> ri</w:t>
      </w:r>
      <w:r>
        <w:rPr>
          <w:rFonts w:cstheme="minorHAnsi"/>
          <w:bCs/>
          <w:sz w:val="19"/>
          <w:szCs w:val="19"/>
        </w:rPr>
        <w:t>sk of mortality in septic shock</w:t>
      </w:r>
    </w:p>
    <w:p w:rsidR="00C34CB0" w:rsidRDefault="00C34CB0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E54869" w:rsidRDefault="003A48C4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C34CB0" w:rsidRPr="00FF4A3B">
        <w:rPr>
          <w:rFonts w:cstheme="minorHAnsi"/>
          <w:bCs/>
          <w:sz w:val="19"/>
          <w:szCs w:val="19"/>
        </w:rPr>
        <w:t>Central venous pressure</w:t>
      </w:r>
      <w:r w:rsidR="00C34CB0">
        <w:rPr>
          <w:rFonts w:cstheme="minorHAnsi"/>
          <w:bCs/>
          <w:sz w:val="19"/>
          <w:szCs w:val="19"/>
        </w:rPr>
        <w:t xml:space="preserve"> </w:t>
      </w:r>
      <w:r w:rsidR="00C34CB0" w:rsidRPr="00FF4A3B">
        <w:rPr>
          <w:rFonts w:cstheme="minorHAnsi"/>
          <w:bCs/>
          <w:sz w:val="19"/>
          <w:szCs w:val="19"/>
        </w:rPr>
        <w:t xml:space="preserve">may be used to gauge fluid balance </w:t>
      </w:r>
      <w:r w:rsidR="00C34CB0" w:rsidRPr="00FF4A3B">
        <w:rPr>
          <w:rFonts w:cstheme="minorHAnsi"/>
          <w:sz w:val="19"/>
          <w:szCs w:val="19"/>
        </w:rPr>
        <w:t>&lt;</w:t>
      </w:r>
      <w:r w:rsidR="00C34CB0" w:rsidRPr="00FF4A3B">
        <w:rPr>
          <w:rFonts w:cstheme="minorHAnsi"/>
          <w:bCs/>
          <w:sz w:val="19"/>
          <w:szCs w:val="19"/>
        </w:rPr>
        <w:t>12 hrs into septic</w:t>
      </w:r>
      <w:r w:rsidR="00C34CB0">
        <w:rPr>
          <w:rFonts w:cstheme="minorHAnsi"/>
          <w:bCs/>
          <w:sz w:val="19"/>
          <w:szCs w:val="19"/>
        </w:rPr>
        <w:t xml:space="preserve"> </w:t>
      </w:r>
      <w:r w:rsidR="00C34CB0" w:rsidRPr="00FF4A3B">
        <w:rPr>
          <w:rFonts w:cstheme="minorHAnsi"/>
          <w:bCs/>
          <w:sz w:val="19"/>
          <w:szCs w:val="19"/>
        </w:rPr>
        <w:t>shock but becomes an unreliable mar</w:t>
      </w:r>
      <w:r w:rsidR="00C34CB0">
        <w:rPr>
          <w:rFonts w:cstheme="minorHAnsi"/>
          <w:bCs/>
          <w:sz w:val="19"/>
          <w:szCs w:val="19"/>
        </w:rPr>
        <w:t>ker of fluid balance thereafter</w:t>
      </w:r>
    </w:p>
    <w:p w:rsidR="00C34CB0" w:rsidRDefault="00C34CB0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D52B86" w:rsidRDefault="003A48C4" w:rsidP="00FF4A3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C34CB0">
        <w:rPr>
          <w:rFonts w:cstheme="minorHAnsi"/>
          <w:bCs/>
          <w:sz w:val="19"/>
          <w:szCs w:val="19"/>
        </w:rPr>
        <w:t>At 12 hours, patients with CVP &lt; 8 mmHg had the lowest mortality rate</w:t>
      </w:r>
      <w:r w:rsidR="00D52B86">
        <w:rPr>
          <w:rFonts w:cstheme="minorHAnsi"/>
          <w:bCs/>
          <w:sz w:val="19"/>
          <w:szCs w:val="19"/>
        </w:rPr>
        <w:t xml:space="preserve"> and optimal survival occurred with a positive fluid balance of approximately 3L </w:t>
      </w:r>
    </w:p>
    <w:p w:rsidR="00D52B86" w:rsidRDefault="00D52B86" w:rsidP="00D52B8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D52B86" w:rsidRPr="005752FD" w:rsidRDefault="00D52B86" w:rsidP="008030B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752FD">
        <w:rPr>
          <w:rFonts w:cstheme="minorHAnsi"/>
          <w:bCs/>
          <w:sz w:val="19"/>
          <w:szCs w:val="19"/>
        </w:rPr>
        <w:t>1. In VASST patients 12 hours after presentation, what CVP measure conferred the highest risk of mortality</w:t>
      </w:r>
      <w:r w:rsidR="008030B2" w:rsidRPr="005752FD">
        <w:rPr>
          <w:rFonts w:cstheme="minorHAnsi"/>
          <w:bCs/>
          <w:sz w:val="19"/>
          <w:szCs w:val="19"/>
        </w:rPr>
        <w:t xml:space="preserve"> independent of the severity of illness?</w:t>
      </w:r>
    </w:p>
    <w:p w:rsidR="00D52B86" w:rsidRPr="005752FD" w:rsidRDefault="00D52B86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</w:r>
      <w:proofErr w:type="gramStart"/>
      <w:r w:rsidRPr="005752FD">
        <w:rPr>
          <w:sz w:val="19"/>
          <w:szCs w:val="19"/>
        </w:rPr>
        <w:t>a</w:t>
      </w:r>
      <w:proofErr w:type="gramEnd"/>
      <w:r w:rsidRPr="005752FD">
        <w:rPr>
          <w:sz w:val="19"/>
          <w:szCs w:val="19"/>
        </w:rPr>
        <w:t>. &lt; 8 mmHg</w:t>
      </w:r>
    </w:p>
    <w:p w:rsidR="00D52B86" w:rsidRPr="005752FD" w:rsidRDefault="00D52B86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</w:r>
      <w:proofErr w:type="gramStart"/>
      <w:r w:rsidRPr="005752FD">
        <w:rPr>
          <w:sz w:val="19"/>
          <w:szCs w:val="19"/>
        </w:rPr>
        <w:t>b. 8</w:t>
      </w:r>
      <w:proofErr w:type="gramEnd"/>
      <w:r w:rsidRPr="005752FD">
        <w:rPr>
          <w:sz w:val="19"/>
          <w:szCs w:val="19"/>
        </w:rPr>
        <w:t>-12 mmHg</w:t>
      </w:r>
    </w:p>
    <w:p w:rsidR="00D52B86" w:rsidRPr="005752FD" w:rsidRDefault="00D52B86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</w:r>
      <w:proofErr w:type="gramStart"/>
      <w:r w:rsidRPr="005752FD">
        <w:rPr>
          <w:sz w:val="19"/>
          <w:szCs w:val="19"/>
          <w:highlight w:val="yellow"/>
        </w:rPr>
        <w:t>c</w:t>
      </w:r>
      <w:proofErr w:type="gramEnd"/>
      <w:r w:rsidRPr="005752FD">
        <w:rPr>
          <w:sz w:val="19"/>
          <w:szCs w:val="19"/>
          <w:highlight w:val="yellow"/>
        </w:rPr>
        <w:t>. &gt; 12 mmHg</w:t>
      </w:r>
    </w:p>
    <w:p w:rsidR="00D52B86" w:rsidRPr="005752FD" w:rsidRDefault="00D52B86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  <w:t>d. CVP was not related to mortality in this patient population</w:t>
      </w:r>
    </w:p>
    <w:p w:rsidR="008030B2" w:rsidRPr="005752FD" w:rsidRDefault="008030B2" w:rsidP="008030B2">
      <w:pPr>
        <w:spacing w:after="0" w:line="240" w:lineRule="auto"/>
        <w:rPr>
          <w:sz w:val="19"/>
          <w:szCs w:val="19"/>
        </w:rPr>
      </w:pPr>
    </w:p>
    <w:p w:rsidR="008030B2" w:rsidRPr="005752FD" w:rsidRDefault="008030B2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 xml:space="preserve">2. </w:t>
      </w:r>
      <w:r w:rsidR="005752FD" w:rsidRPr="005752FD">
        <w:rPr>
          <w:sz w:val="19"/>
          <w:szCs w:val="19"/>
        </w:rPr>
        <w:t>Which of the following is</w:t>
      </w:r>
      <w:r w:rsidRPr="005752FD">
        <w:rPr>
          <w:sz w:val="19"/>
          <w:szCs w:val="19"/>
        </w:rPr>
        <w:t xml:space="preserve"> true regarding </w:t>
      </w:r>
      <w:r w:rsidR="005752FD" w:rsidRPr="005752FD">
        <w:rPr>
          <w:sz w:val="19"/>
          <w:szCs w:val="19"/>
        </w:rPr>
        <w:t>fluid balance in patients with septic shock?</w:t>
      </w:r>
    </w:p>
    <w:p w:rsidR="005752FD" w:rsidRPr="005752FD" w:rsidRDefault="005752FD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  <w:t>a. A CVP &lt; 8 mmHg is associated with an increased risk of mortality</w:t>
      </w:r>
    </w:p>
    <w:p w:rsidR="005752FD" w:rsidRPr="005752FD" w:rsidRDefault="005752FD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  <w:t>b. Patients with a CVP between 8-12 mmHg had the lowest mortality rate</w:t>
      </w:r>
    </w:p>
    <w:p w:rsidR="005752FD" w:rsidRPr="005752FD" w:rsidRDefault="005752FD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  <w:t>c. CVP correlated with fluid balance and mortality during days 1-4 of care</w:t>
      </w:r>
    </w:p>
    <w:p w:rsidR="005752FD" w:rsidRPr="005752FD" w:rsidRDefault="005752FD" w:rsidP="008030B2">
      <w:pPr>
        <w:spacing w:after="0" w:line="240" w:lineRule="auto"/>
        <w:rPr>
          <w:sz w:val="19"/>
          <w:szCs w:val="19"/>
        </w:rPr>
      </w:pPr>
      <w:r w:rsidRPr="005752FD">
        <w:rPr>
          <w:sz w:val="19"/>
          <w:szCs w:val="19"/>
        </w:rPr>
        <w:tab/>
      </w:r>
      <w:r w:rsidRPr="005752FD">
        <w:rPr>
          <w:sz w:val="19"/>
          <w:szCs w:val="19"/>
          <w:highlight w:val="yellow"/>
        </w:rPr>
        <w:t>d. Higher positive cumulative fluid balance was associated with an increased risk of mortality</w:t>
      </w:r>
    </w:p>
    <w:p w:rsidR="00D52B86" w:rsidRPr="00D52B86" w:rsidRDefault="00D52B86" w:rsidP="00D52B8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CB35D8" w:rsidRDefault="00CB35D8" w:rsidP="00CB35D8">
      <w:pPr>
        <w:rPr>
          <w:rFonts w:cstheme="minorHAnsi"/>
          <w:b/>
          <w:bCs/>
          <w:sz w:val="19"/>
          <w:szCs w:val="19"/>
        </w:rPr>
      </w:pPr>
    </w:p>
    <w:p w:rsidR="00C34CB0" w:rsidRPr="00C34CB0" w:rsidRDefault="00C34CB0" w:rsidP="00C34CB0">
      <w:pPr>
        <w:rPr>
          <w:rFonts w:cstheme="minorHAnsi"/>
          <w:bCs/>
          <w:sz w:val="19"/>
          <w:szCs w:val="19"/>
        </w:rPr>
      </w:pPr>
    </w:p>
    <w:p w:rsidR="005F492A" w:rsidRPr="005F492A" w:rsidRDefault="005F492A" w:rsidP="005F492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spellStart"/>
      <w:r w:rsidRPr="005F492A">
        <w:rPr>
          <w:rFonts w:cstheme="minorHAnsi"/>
          <w:bCs/>
          <w:sz w:val="19"/>
          <w:szCs w:val="19"/>
        </w:rPr>
        <w:lastRenderedPageBreak/>
        <w:t>Crit</w:t>
      </w:r>
      <w:proofErr w:type="spellEnd"/>
      <w:r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Care Med 2011; 39:305–</w:t>
      </w:r>
      <w:r>
        <w:rPr>
          <w:rFonts w:cstheme="minorHAnsi"/>
          <w:bCs/>
          <w:sz w:val="19"/>
          <w:szCs w:val="19"/>
        </w:rPr>
        <w:t>313</w:t>
      </w:r>
    </w:p>
    <w:p w:rsidR="00CB35D8" w:rsidRPr="005F492A" w:rsidRDefault="00CB35D8" w:rsidP="005F49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5F492A">
        <w:rPr>
          <w:rFonts w:cstheme="minorHAnsi"/>
          <w:b/>
          <w:bCs/>
          <w:sz w:val="28"/>
          <w:szCs w:val="28"/>
        </w:rPr>
        <w:t>Elevation of blood urea nitrogen is predictive of long-term mortality in</w:t>
      </w:r>
    </w:p>
    <w:p w:rsidR="00CB35D8" w:rsidRPr="005F492A" w:rsidRDefault="00CB35D8" w:rsidP="005F49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proofErr w:type="gramStart"/>
      <w:r w:rsidRPr="005F492A">
        <w:rPr>
          <w:rFonts w:cstheme="minorHAnsi"/>
          <w:b/>
          <w:bCs/>
          <w:sz w:val="28"/>
          <w:szCs w:val="28"/>
        </w:rPr>
        <w:t>critically</w:t>
      </w:r>
      <w:proofErr w:type="gramEnd"/>
      <w:r w:rsidRPr="005F492A">
        <w:rPr>
          <w:rFonts w:cstheme="minorHAnsi"/>
          <w:b/>
          <w:bCs/>
          <w:sz w:val="28"/>
          <w:szCs w:val="28"/>
        </w:rPr>
        <w:t xml:space="preserve"> ill patients independent of “normal”</w:t>
      </w:r>
      <w:r w:rsidR="005F492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5F492A">
        <w:rPr>
          <w:rFonts w:cstheme="minorHAnsi"/>
          <w:b/>
          <w:bCs/>
          <w:sz w:val="28"/>
          <w:szCs w:val="28"/>
        </w:rPr>
        <w:t>creatinine</w:t>
      </w:r>
      <w:proofErr w:type="spellEnd"/>
    </w:p>
    <w:p w:rsidR="00CB35D8" w:rsidRPr="005F492A" w:rsidRDefault="00CB35D8" w:rsidP="005F49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5F492A">
        <w:rPr>
          <w:rFonts w:cstheme="minorHAnsi"/>
          <w:sz w:val="20"/>
          <w:szCs w:val="20"/>
        </w:rPr>
        <w:t xml:space="preserve">Kevin </w:t>
      </w:r>
      <w:proofErr w:type="spellStart"/>
      <w:r w:rsidRPr="005F492A">
        <w:rPr>
          <w:rFonts w:cstheme="minorHAnsi"/>
          <w:sz w:val="20"/>
          <w:szCs w:val="20"/>
        </w:rPr>
        <w:t>Beier</w:t>
      </w:r>
      <w:proofErr w:type="spellEnd"/>
      <w:r w:rsidRPr="005F492A">
        <w:rPr>
          <w:rFonts w:cstheme="minorHAnsi"/>
          <w:sz w:val="20"/>
          <w:szCs w:val="20"/>
        </w:rPr>
        <w:t xml:space="preserve">, BS; </w:t>
      </w:r>
      <w:proofErr w:type="spellStart"/>
      <w:r w:rsidRPr="005F492A">
        <w:rPr>
          <w:rFonts w:cstheme="minorHAnsi"/>
          <w:sz w:val="20"/>
          <w:szCs w:val="20"/>
        </w:rPr>
        <w:t>Sabitha</w:t>
      </w:r>
      <w:proofErr w:type="spellEnd"/>
      <w:r w:rsidRPr="005F492A">
        <w:rPr>
          <w:rFonts w:cstheme="minorHAnsi"/>
          <w:sz w:val="20"/>
          <w:szCs w:val="20"/>
        </w:rPr>
        <w:t xml:space="preserve"> </w:t>
      </w:r>
      <w:proofErr w:type="spellStart"/>
      <w:r w:rsidRPr="005F492A">
        <w:rPr>
          <w:rFonts w:cstheme="minorHAnsi"/>
          <w:sz w:val="20"/>
          <w:szCs w:val="20"/>
        </w:rPr>
        <w:t>Eppanapally</w:t>
      </w:r>
      <w:proofErr w:type="spellEnd"/>
      <w:r w:rsidRPr="005F492A">
        <w:rPr>
          <w:rFonts w:cstheme="minorHAnsi"/>
          <w:sz w:val="20"/>
          <w:szCs w:val="20"/>
        </w:rPr>
        <w:t xml:space="preserve">, MD; Heidi S. </w:t>
      </w:r>
      <w:proofErr w:type="spellStart"/>
      <w:r w:rsidRPr="005F492A">
        <w:rPr>
          <w:rFonts w:cstheme="minorHAnsi"/>
          <w:sz w:val="20"/>
          <w:szCs w:val="20"/>
        </w:rPr>
        <w:t>Bazick</w:t>
      </w:r>
      <w:proofErr w:type="spellEnd"/>
      <w:r w:rsidRPr="005F492A">
        <w:rPr>
          <w:rFonts w:cstheme="minorHAnsi"/>
          <w:sz w:val="20"/>
          <w:szCs w:val="20"/>
        </w:rPr>
        <w:t>, MD; Domingo Chang, MD;</w:t>
      </w:r>
    </w:p>
    <w:p w:rsidR="00CB35D8" w:rsidRPr="005F492A" w:rsidRDefault="00CB35D8" w:rsidP="005F49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i/>
          <w:iCs/>
          <w:sz w:val="20"/>
          <w:szCs w:val="20"/>
        </w:rPr>
      </w:pPr>
      <w:proofErr w:type="spellStart"/>
      <w:r w:rsidRPr="005F492A">
        <w:rPr>
          <w:rFonts w:cstheme="minorHAnsi"/>
          <w:sz w:val="20"/>
          <w:szCs w:val="20"/>
        </w:rPr>
        <w:t>Karthik</w:t>
      </w:r>
      <w:proofErr w:type="spellEnd"/>
      <w:r w:rsidRPr="005F492A">
        <w:rPr>
          <w:rFonts w:cstheme="minorHAnsi"/>
          <w:sz w:val="20"/>
          <w:szCs w:val="20"/>
        </w:rPr>
        <w:t xml:space="preserve"> </w:t>
      </w:r>
      <w:proofErr w:type="spellStart"/>
      <w:r w:rsidRPr="005F492A">
        <w:rPr>
          <w:rFonts w:cstheme="minorHAnsi"/>
          <w:sz w:val="20"/>
          <w:szCs w:val="20"/>
        </w:rPr>
        <w:t>Mahadevappa</w:t>
      </w:r>
      <w:proofErr w:type="spellEnd"/>
      <w:r w:rsidRPr="005F492A">
        <w:rPr>
          <w:rFonts w:cstheme="minorHAnsi"/>
          <w:sz w:val="20"/>
          <w:szCs w:val="20"/>
        </w:rPr>
        <w:t>, MBBS; Fiona K. Gibbons, MD; Kenneth B. Christopher, MD</w:t>
      </w:r>
    </w:p>
    <w:p w:rsidR="005F492A" w:rsidRDefault="005F492A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19"/>
          <w:szCs w:val="19"/>
        </w:rPr>
      </w:pP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Objective: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We hypothesized that elevated blood urea nitrogen can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be associated with all-cause mortality independent of </w:t>
      </w:r>
      <w:proofErr w:type="spellStart"/>
      <w:r w:rsidRPr="005F492A">
        <w:rPr>
          <w:rFonts w:cstheme="minorHAnsi"/>
          <w:bCs/>
          <w:sz w:val="19"/>
          <w:szCs w:val="19"/>
        </w:rPr>
        <w:t>creatinine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in a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heterogeneous critically ill population.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Design: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Multicenter observational study of patients treated in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medical and surgical intensive care units.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Setting: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Twenty intensive care units in two teaching hospitals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in Boston, MA.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Patients: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A total of 26,288 patients, age </w:t>
      </w:r>
      <w:r w:rsidRPr="005F492A">
        <w:rPr>
          <w:rFonts w:cstheme="minorHAnsi"/>
          <w:sz w:val="19"/>
          <w:szCs w:val="19"/>
        </w:rPr>
        <w:t>&gt;</w:t>
      </w:r>
      <w:r w:rsidRPr="005F492A">
        <w:rPr>
          <w:rFonts w:cstheme="minorHAnsi"/>
          <w:bCs/>
          <w:sz w:val="19"/>
          <w:szCs w:val="19"/>
        </w:rPr>
        <w:t>18 yrs, hospitalized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between 1997 and 2007 with </w:t>
      </w:r>
      <w:proofErr w:type="spellStart"/>
      <w:r w:rsidRPr="005F492A">
        <w:rPr>
          <w:rFonts w:cstheme="minorHAnsi"/>
          <w:bCs/>
          <w:sz w:val="19"/>
          <w:szCs w:val="19"/>
        </w:rPr>
        <w:t>creatinine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of 0.80 –1.30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Interventions: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None.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Measurements: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Blood urea nitrogen at intensive care unit admission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was categorized as 10–20, 20–40, and &gt;40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. Logistic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regression examined death at days 30, 90, and 365 after intensive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care unit admission as well as in-hospital mortality. Adjusted odds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ratios were estimated by multivariable logistic regression models.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Main Results: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Blood urea nitrogen at intensive care unit admission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was predictive for short- and long-term mortality independent of</w:t>
      </w:r>
      <w:r w:rsidR="005F492A">
        <w:rPr>
          <w:rFonts w:cstheme="minorHAnsi"/>
          <w:bCs/>
          <w:sz w:val="19"/>
          <w:szCs w:val="19"/>
        </w:rPr>
        <w:t xml:space="preserve"> </w:t>
      </w:r>
      <w:proofErr w:type="spellStart"/>
      <w:r w:rsidRPr="005F492A">
        <w:rPr>
          <w:rFonts w:cstheme="minorHAnsi"/>
          <w:bCs/>
          <w:sz w:val="19"/>
          <w:szCs w:val="19"/>
        </w:rPr>
        <w:t>creatinine</w:t>
      </w:r>
      <w:proofErr w:type="spellEnd"/>
      <w:r w:rsidRPr="005F492A">
        <w:rPr>
          <w:rFonts w:cstheme="minorHAnsi"/>
          <w:bCs/>
          <w:sz w:val="19"/>
          <w:szCs w:val="19"/>
        </w:rPr>
        <w:t>. Thirty days following intensive care unit admission, patients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with blood urea nitrogen of &gt;40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had an odds ratio for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mortality of 5.12 (95% confidence interval, 4.30–6.09; 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p </w:t>
      </w:r>
      <w:r w:rsidRPr="005F492A">
        <w:rPr>
          <w:rFonts w:cstheme="minorHAnsi"/>
          <w:bCs/>
          <w:sz w:val="19"/>
          <w:szCs w:val="19"/>
        </w:rPr>
        <w:t>&lt; .0001)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relative to patients with blood urea nitrogen of 10–20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. Blood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urea nitrogen remained a significant predictor of mortality at 30 days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gramStart"/>
      <w:r w:rsidRPr="005F492A">
        <w:rPr>
          <w:rFonts w:cstheme="minorHAnsi"/>
          <w:bCs/>
          <w:sz w:val="19"/>
          <w:szCs w:val="19"/>
        </w:rPr>
        <w:t>after</w:t>
      </w:r>
      <w:proofErr w:type="gramEnd"/>
      <w:r w:rsidRPr="005F492A">
        <w:rPr>
          <w:rFonts w:cstheme="minorHAnsi"/>
          <w:bCs/>
          <w:sz w:val="19"/>
          <w:szCs w:val="19"/>
        </w:rPr>
        <w:t xml:space="preserve"> intensive care unit admission following multivariable adjustment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for confounders; patients with blood urea nitrogen of &gt;40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had an odds ratio for m</w:t>
      </w:r>
      <w:r w:rsidR="005F492A">
        <w:rPr>
          <w:rFonts w:cstheme="minorHAnsi"/>
          <w:bCs/>
          <w:sz w:val="19"/>
          <w:szCs w:val="19"/>
        </w:rPr>
        <w:t xml:space="preserve">ortality of 2.78 (95% confidence </w:t>
      </w:r>
      <w:r w:rsidRPr="005F492A">
        <w:rPr>
          <w:rFonts w:cstheme="minorHAnsi"/>
          <w:bCs/>
          <w:sz w:val="19"/>
          <w:szCs w:val="19"/>
        </w:rPr>
        <w:t xml:space="preserve">interval, 2.27–3.39; 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p </w:t>
      </w:r>
      <w:r w:rsidRPr="005F492A">
        <w:rPr>
          <w:rFonts w:cstheme="minorHAnsi"/>
          <w:bCs/>
          <w:sz w:val="19"/>
          <w:szCs w:val="19"/>
        </w:rPr>
        <w:t>&lt; .0001) relative to patients with blood urea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nitrogen of 10–20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. Thirty days following intensive care unit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admission, patients with blood urea nitrogen of 20–40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had an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odds ratio of 2.15 (95% confidence interval, 1.98 –2.33; &lt;.0001) and</w:t>
      </w:r>
    </w:p>
    <w:p w:rsidR="00CB35D8" w:rsidRPr="005F492A" w:rsidRDefault="00CB35D8" w:rsidP="00CB35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gramStart"/>
      <w:r w:rsidRPr="005F492A">
        <w:rPr>
          <w:rFonts w:cstheme="minorHAnsi"/>
          <w:bCs/>
          <w:sz w:val="19"/>
          <w:szCs w:val="19"/>
        </w:rPr>
        <w:t>a</w:t>
      </w:r>
      <w:proofErr w:type="gramEnd"/>
      <w:r w:rsidRPr="005F492A">
        <w:rPr>
          <w:rFonts w:cstheme="minorHAnsi"/>
          <w:bCs/>
          <w:sz w:val="19"/>
          <w:szCs w:val="19"/>
        </w:rPr>
        <w:t xml:space="preserve"> multivariable odds ratio of 1.53 (95% confidence interval, 1.40–1.68; 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p </w:t>
      </w:r>
      <w:r w:rsidRPr="005F492A">
        <w:rPr>
          <w:rFonts w:cstheme="minorHAnsi"/>
          <w:bCs/>
          <w:sz w:val="19"/>
          <w:szCs w:val="19"/>
        </w:rPr>
        <w:t>&lt; .0001) relative to patients with blood urea nitrogen of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10–20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. Results were similar at 90 and 365 days following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intensive care unit admission as well as for in-hospital mortality. A</w:t>
      </w:r>
      <w:r w:rsidR="005F492A">
        <w:rPr>
          <w:rFonts w:cstheme="minorHAnsi"/>
          <w:bCs/>
          <w:sz w:val="19"/>
          <w:szCs w:val="19"/>
        </w:rPr>
        <w:t xml:space="preserve"> </w:t>
      </w:r>
      <w:proofErr w:type="spellStart"/>
      <w:r w:rsidRPr="005F492A">
        <w:rPr>
          <w:rFonts w:cstheme="minorHAnsi"/>
          <w:bCs/>
          <w:sz w:val="19"/>
          <w:szCs w:val="19"/>
        </w:rPr>
        <w:t>subanalysis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of patients with blood cultures (n</w:t>
      </w:r>
      <w:r w:rsidRPr="005F492A">
        <w:rPr>
          <w:rFonts w:cstheme="minorHAnsi"/>
          <w:sz w:val="19"/>
          <w:szCs w:val="19"/>
        </w:rPr>
        <w:t>_</w:t>
      </w:r>
      <w:r w:rsidRPr="005F492A">
        <w:rPr>
          <w:rFonts w:cstheme="minorHAnsi"/>
          <w:bCs/>
          <w:sz w:val="19"/>
          <w:szCs w:val="19"/>
        </w:rPr>
        <w:t>7,482) demonstrated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that blood urea nitrogen at intensive care unit admission was associated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with the risk of blood culture positivity.</w:t>
      </w:r>
    </w:p>
    <w:p w:rsidR="00CB35D8" w:rsidRPr="005F492A" w:rsidRDefault="00CB35D8" w:rsidP="005F492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5F492A">
        <w:rPr>
          <w:rFonts w:cstheme="minorHAnsi"/>
          <w:b/>
          <w:bCs/>
          <w:iCs/>
          <w:sz w:val="19"/>
          <w:szCs w:val="19"/>
        </w:rPr>
        <w:t>Conclusion:</w:t>
      </w:r>
      <w:r w:rsidRPr="005F492A">
        <w:rPr>
          <w:rFonts w:cstheme="minorHAnsi"/>
          <w:bCs/>
          <w:i/>
          <w:i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Among critically ill patients with </w:t>
      </w:r>
      <w:proofErr w:type="spellStart"/>
      <w:r w:rsidRPr="005F492A">
        <w:rPr>
          <w:rFonts w:cstheme="minorHAnsi"/>
          <w:bCs/>
          <w:sz w:val="19"/>
          <w:szCs w:val="19"/>
        </w:rPr>
        <w:t>creatinine</w:t>
      </w:r>
      <w:proofErr w:type="spellEnd"/>
      <w:r w:rsidRPr="005F492A">
        <w:rPr>
          <w:rFonts w:cstheme="minorHAnsi"/>
          <w:bCs/>
          <w:sz w:val="19"/>
          <w:szCs w:val="19"/>
        </w:rPr>
        <w:t xml:space="preserve"> of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>0.8 –1.3 mg/</w:t>
      </w:r>
      <w:proofErr w:type="spellStart"/>
      <w:r w:rsidRPr="005F492A">
        <w:rPr>
          <w:rFonts w:cstheme="minorHAnsi"/>
          <w:bCs/>
          <w:sz w:val="19"/>
          <w:szCs w:val="19"/>
        </w:rPr>
        <w:t>dL</w:t>
      </w:r>
      <w:proofErr w:type="spellEnd"/>
      <w:r w:rsidRPr="005F492A">
        <w:rPr>
          <w:rFonts w:cstheme="minorHAnsi"/>
          <w:bCs/>
          <w:sz w:val="19"/>
          <w:szCs w:val="19"/>
        </w:rPr>
        <w:t>, an elevated blood urea nitrogen was associated</w:t>
      </w:r>
      <w:r w:rsidR="005F492A">
        <w:rPr>
          <w:rFonts w:cstheme="minorHAnsi"/>
          <w:bCs/>
          <w:sz w:val="19"/>
          <w:szCs w:val="19"/>
        </w:rPr>
        <w:t xml:space="preserve"> </w:t>
      </w:r>
      <w:r w:rsidRPr="005F492A">
        <w:rPr>
          <w:rFonts w:cstheme="minorHAnsi"/>
          <w:bCs/>
          <w:sz w:val="19"/>
          <w:szCs w:val="19"/>
        </w:rPr>
        <w:t xml:space="preserve">with increased mortality, independent of serum </w:t>
      </w:r>
      <w:proofErr w:type="spellStart"/>
      <w:r w:rsidRPr="005F492A">
        <w:rPr>
          <w:rFonts w:cstheme="minorHAnsi"/>
          <w:bCs/>
          <w:sz w:val="19"/>
          <w:szCs w:val="19"/>
        </w:rPr>
        <w:t>creatinine</w:t>
      </w:r>
      <w:proofErr w:type="spellEnd"/>
    </w:p>
    <w:p w:rsidR="00CB35D8" w:rsidRPr="005F492A" w:rsidRDefault="005F492A" w:rsidP="00CB35D8">
      <w:pPr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 xml:space="preserve"> </w:t>
      </w:r>
    </w:p>
    <w:p w:rsidR="00E54869" w:rsidRPr="00FF4A3B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987456">
        <w:rPr>
          <w:rFonts w:cstheme="minorHAnsi"/>
          <w:bCs/>
          <w:sz w:val="19"/>
          <w:szCs w:val="19"/>
        </w:rPr>
        <w:t xml:space="preserve">Elevation in admission BUN is strongly associated with a risk of death in critically ill patients independent of normal </w:t>
      </w:r>
      <w:proofErr w:type="spellStart"/>
      <w:r w:rsidR="00987456">
        <w:rPr>
          <w:rFonts w:cstheme="minorHAnsi"/>
          <w:bCs/>
          <w:sz w:val="19"/>
          <w:szCs w:val="19"/>
        </w:rPr>
        <w:t>creatinine</w:t>
      </w:r>
      <w:proofErr w:type="spellEnd"/>
      <w:r w:rsidR="00987456">
        <w:rPr>
          <w:rFonts w:cstheme="minorHAnsi"/>
          <w:bCs/>
          <w:sz w:val="19"/>
          <w:szCs w:val="19"/>
        </w:rPr>
        <w:t xml:space="preserve"> </w:t>
      </w:r>
    </w:p>
    <w:p w:rsidR="00987456" w:rsidRDefault="00987456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E54869" w:rsidRPr="00FF4A3B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987456">
        <w:rPr>
          <w:rFonts w:cstheme="minorHAnsi"/>
          <w:bCs/>
          <w:sz w:val="19"/>
          <w:szCs w:val="19"/>
        </w:rPr>
        <w:t>Elevated in admission BUN is associated with an increased risk of blood culture positivity at 48 hrs prior and 48 hrs after ICU admission</w:t>
      </w:r>
    </w:p>
    <w:p w:rsidR="00987456" w:rsidRDefault="00987456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E54869" w:rsidRPr="00FF4A3B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987456">
        <w:rPr>
          <w:rFonts w:cstheme="minorHAnsi"/>
          <w:bCs/>
          <w:sz w:val="19"/>
          <w:szCs w:val="19"/>
        </w:rPr>
        <w:t>Admission BUN does not have prognostic significance in the setting of an upper gastrointestinal bleed</w:t>
      </w:r>
    </w:p>
    <w:p w:rsidR="00824747" w:rsidRPr="00FF4A3B" w:rsidRDefault="00824747" w:rsidP="00CB35D8">
      <w:pPr>
        <w:rPr>
          <w:rFonts w:cstheme="minorHAnsi"/>
          <w:b/>
          <w:bCs/>
          <w:sz w:val="19"/>
          <w:szCs w:val="19"/>
        </w:rPr>
      </w:pPr>
    </w:p>
    <w:p w:rsidR="00994C79" w:rsidRDefault="00994C79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1. Elevation in admission BUN is strongly associated with mortality in all of the following patient populations EXCEPT?</w:t>
      </w:r>
    </w:p>
    <w:p w:rsidR="00994C79" w:rsidRDefault="00994C79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a. Sepsis</w:t>
      </w:r>
    </w:p>
    <w:p w:rsidR="00994C79" w:rsidRDefault="00994C79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b. Congestive heart failure</w:t>
      </w:r>
    </w:p>
    <w:p w:rsidR="00994C79" w:rsidRDefault="00994C79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</w:r>
      <w:r w:rsidRPr="00994C79">
        <w:rPr>
          <w:rFonts w:cstheme="minorHAnsi"/>
          <w:bCs/>
          <w:sz w:val="19"/>
          <w:szCs w:val="19"/>
          <w:highlight w:val="yellow"/>
        </w:rPr>
        <w:t>C. Upper gastrointestinal bleed</w:t>
      </w:r>
    </w:p>
    <w:p w:rsidR="00994C79" w:rsidRPr="00994C79" w:rsidRDefault="00994C79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d. Acute kidney injury</w:t>
      </w:r>
    </w:p>
    <w:p w:rsidR="00824747" w:rsidRDefault="00824747" w:rsidP="009559C1">
      <w:pPr>
        <w:spacing w:after="0" w:line="240" w:lineRule="auto"/>
        <w:rPr>
          <w:rFonts w:cstheme="minorHAnsi"/>
          <w:b/>
          <w:bCs/>
          <w:sz w:val="19"/>
          <w:szCs w:val="19"/>
        </w:rPr>
      </w:pPr>
    </w:p>
    <w:p w:rsidR="009559C1" w:rsidRDefault="009559C1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2. Which of the following variables can alter BUN?</w:t>
      </w:r>
    </w:p>
    <w:p w:rsidR="009559C1" w:rsidRDefault="009559C1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a. GFR</w:t>
      </w:r>
    </w:p>
    <w:p w:rsidR="009559C1" w:rsidRDefault="009559C1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b. Protein intake</w:t>
      </w:r>
    </w:p>
    <w:p w:rsidR="009559C1" w:rsidRDefault="009559C1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c. Catabolism</w:t>
      </w:r>
    </w:p>
    <w:p w:rsidR="009559C1" w:rsidRDefault="009559C1" w:rsidP="009559C1">
      <w:pPr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d. Volume status</w:t>
      </w:r>
    </w:p>
    <w:p w:rsidR="009559C1" w:rsidRDefault="009559C1" w:rsidP="009559C1">
      <w:pPr>
        <w:spacing w:after="0" w:line="240" w:lineRule="auto"/>
        <w:rPr>
          <w:rFonts w:cstheme="minorHAnsi"/>
          <w:b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</w:r>
      <w:r w:rsidRPr="009559C1">
        <w:rPr>
          <w:rFonts w:cstheme="minorHAnsi"/>
          <w:bCs/>
          <w:sz w:val="19"/>
          <w:szCs w:val="19"/>
          <w:highlight w:val="yellow"/>
        </w:rPr>
        <w:t>e. All of the above</w:t>
      </w:r>
      <w:r>
        <w:rPr>
          <w:rFonts w:cstheme="minorHAnsi"/>
          <w:b/>
          <w:bCs/>
          <w:sz w:val="19"/>
          <w:szCs w:val="19"/>
        </w:rPr>
        <w:t xml:space="preserve"> </w:t>
      </w:r>
    </w:p>
    <w:p w:rsidR="002602B0" w:rsidRDefault="002602B0" w:rsidP="009559C1">
      <w:pPr>
        <w:spacing w:after="0" w:line="240" w:lineRule="auto"/>
        <w:rPr>
          <w:rFonts w:cstheme="minorHAnsi"/>
          <w:b/>
          <w:bCs/>
          <w:sz w:val="19"/>
          <w:szCs w:val="19"/>
        </w:rPr>
      </w:pPr>
    </w:p>
    <w:p w:rsidR="002602B0" w:rsidRPr="002602B0" w:rsidRDefault="002602B0" w:rsidP="002602B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proofErr w:type="spellStart"/>
      <w:r w:rsidRPr="002602B0">
        <w:rPr>
          <w:rFonts w:cstheme="minorHAnsi"/>
          <w:bCs/>
          <w:sz w:val="19"/>
          <w:szCs w:val="19"/>
        </w:rPr>
        <w:lastRenderedPageBreak/>
        <w:t>Crit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 Care Med 2011; 39:314 –</w:t>
      </w:r>
      <w:r>
        <w:rPr>
          <w:rFonts w:cstheme="minorHAnsi"/>
          <w:bCs/>
          <w:sz w:val="19"/>
          <w:szCs w:val="19"/>
        </w:rPr>
        <w:t>321</w:t>
      </w:r>
    </w:p>
    <w:p w:rsidR="00824747" w:rsidRPr="00FF4A3B" w:rsidRDefault="00824747" w:rsidP="002602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2602B0">
        <w:rPr>
          <w:rFonts w:cstheme="minorHAnsi"/>
          <w:b/>
          <w:bCs/>
          <w:sz w:val="28"/>
          <w:szCs w:val="28"/>
        </w:rPr>
        <w:t>Ionized calcium concentration and outcome in critical illness</w:t>
      </w:r>
    </w:p>
    <w:p w:rsidR="00824747" w:rsidRPr="002602B0" w:rsidRDefault="00824747" w:rsidP="002602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proofErr w:type="spellStart"/>
      <w:r w:rsidRPr="002602B0">
        <w:rPr>
          <w:rFonts w:cstheme="minorHAnsi"/>
          <w:sz w:val="20"/>
          <w:szCs w:val="20"/>
        </w:rPr>
        <w:t>Moritoki</w:t>
      </w:r>
      <w:proofErr w:type="spellEnd"/>
      <w:r w:rsidRPr="002602B0">
        <w:rPr>
          <w:rFonts w:cstheme="minorHAnsi"/>
          <w:sz w:val="20"/>
          <w:szCs w:val="20"/>
        </w:rPr>
        <w:t xml:space="preserve"> </w:t>
      </w:r>
      <w:proofErr w:type="spellStart"/>
      <w:r w:rsidRPr="002602B0">
        <w:rPr>
          <w:rFonts w:cstheme="minorHAnsi"/>
          <w:sz w:val="20"/>
          <w:szCs w:val="20"/>
        </w:rPr>
        <w:t>Egi</w:t>
      </w:r>
      <w:proofErr w:type="spellEnd"/>
      <w:r w:rsidRPr="002602B0">
        <w:rPr>
          <w:rFonts w:cstheme="minorHAnsi"/>
          <w:sz w:val="20"/>
          <w:szCs w:val="20"/>
        </w:rPr>
        <w:t xml:space="preserve">, MD; </w:t>
      </w:r>
      <w:proofErr w:type="spellStart"/>
      <w:r w:rsidRPr="002602B0">
        <w:rPr>
          <w:rFonts w:cstheme="minorHAnsi"/>
          <w:sz w:val="20"/>
          <w:szCs w:val="20"/>
        </w:rPr>
        <w:t>Inbyung</w:t>
      </w:r>
      <w:proofErr w:type="spellEnd"/>
      <w:r w:rsidRPr="002602B0">
        <w:rPr>
          <w:rFonts w:cstheme="minorHAnsi"/>
          <w:sz w:val="20"/>
          <w:szCs w:val="20"/>
        </w:rPr>
        <w:t xml:space="preserve"> Kim, PhD; Alistair Nichol, PhD; Edward </w:t>
      </w:r>
      <w:proofErr w:type="spellStart"/>
      <w:r w:rsidRPr="002602B0">
        <w:rPr>
          <w:rFonts w:cstheme="minorHAnsi"/>
          <w:sz w:val="20"/>
          <w:szCs w:val="20"/>
        </w:rPr>
        <w:t>Stachowski</w:t>
      </w:r>
      <w:proofErr w:type="spellEnd"/>
      <w:r w:rsidRPr="002602B0">
        <w:rPr>
          <w:rFonts w:cstheme="minorHAnsi"/>
          <w:sz w:val="20"/>
          <w:szCs w:val="20"/>
        </w:rPr>
        <w:t>, MD; Craig J. French, MB;</w:t>
      </w:r>
      <w:r w:rsidR="002602B0" w:rsidRPr="002602B0">
        <w:rPr>
          <w:rFonts w:cstheme="minorHAnsi"/>
          <w:sz w:val="20"/>
          <w:szCs w:val="20"/>
        </w:rPr>
        <w:t xml:space="preserve"> </w:t>
      </w:r>
      <w:r w:rsidRPr="002602B0">
        <w:rPr>
          <w:rFonts w:cstheme="minorHAnsi"/>
          <w:sz w:val="20"/>
          <w:szCs w:val="20"/>
        </w:rPr>
        <w:t xml:space="preserve">Graeme K. Hart, MD; Colin </w:t>
      </w:r>
      <w:proofErr w:type="spellStart"/>
      <w:r w:rsidRPr="002602B0">
        <w:rPr>
          <w:rFonts w:cstheme="minorHAnsi"/>
          <w:sz w:val="20"/>
          <w:szCs w:val="20"/>
        </w:rPr>
        <w:t>Hegarty</w:t>
      </w:r>
      <w:proofErr w:type="spellEnd"/>
      <w:r w:rsidRPr="002602B0">
        <w:rPr>
          <w:rFonts w:cstheme="minorHAnsi"/>
          <w:sz w:val="20"/>
          <w:szCs w:val="20"/>
        </w:rPr>
        <w:t xml:space="preserve">, </w:t>
      </w:r>
      <w:proofErr w:type="spellStart"/>
      <w:r w:rsidRPr="002602B0">
        <w:rPr>
          <w:rFonts w:cstheme="minorHAnsi"/>
          <w:sz w:val="20"/>
          <w:szCs w:val="20"/>
        </w:rPr>
        <w:t>BSc</w:t>
      </w:r>
      <w:proofErr w:type="spellEnd"/>
      <w:r w:rsidRPr="002602B0">
        <w:rPr>
          <w:rFonts w:cstheme="minorHAnsi"/>
          <w:sz w:val="20"/>
          <w:szCs w:val="20"/>
        </w:rPr>
        <w:t xml:space="preserve">; Michael Bailey, PhD; </w:t>
      </w:r>
      <w:proofErr w:type="spellStart"/>
      <w:r w:rsidRPr="002602B0">
        <w:rPr>
          <w:rFonts w:cstheme="minorHAnsi"/>
          <w:sz w:val="20"/>
          <w:szCs w:val="20"/>
        </w:rPr>
        <w:t>Rinaldo</w:t>
      </w:r>
      <w:proofErr w:type="spellEnd"/>
      <w:r w:rsidRPr="002602B0">
        <w:rPr>
          <w:rFonts w:cstheme="minorHAnsi"/>
          <w:sz w:val="20"/>
          <w:szCs w:val="20"/>
        </w:rPr>
        <w:t xml:space="preserve"> </w:t>
      </w:r>
      <w:proofErr w:type="spellStart"/>
      <w:r w:rsidRPr="002602B0">
        <w:rPr>
          <w:rFonts w:cstheme="minorHAnsi"/>
          <w:sz w:val="20"/>
          <w:szCs w:val="20"/>
        </w:rPr>
        <w:t>Bellomo</w:t>
      </w:r>
      <w:proofErr w:type="spellEnd"/>
      <w:r w:rsidRPr="002602B0">
        <w:rPr>
          <w:rFonts w:cstheme="minorHAnsi"/>
          <w:sz w:val="20"/>
          <w:szCs w:val="20"/>
        </w:rPr>
        <w:t>, MD</w:t>
      </w:r>
    </w:p>
    <w:p w:rsidR="002602B0" w:rsidRDefault="002602B0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19"/>
          <w:szCs w:val="19"/>
        </w:rPr>
      </w:pP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Objective: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To assess the association of abnormalities of ionized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calcium levels with mortality in a heterogeneous cohort of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critically ill patients.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Design: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proofErr w:type="gramStart"/>
      <w:r w:rsidRPr="002602B0">
        <w:rPr>
          <w:rFonts w:cstheme="minorHAnsi"/>
          <w:bCs/>
          <w:sz w:val="19"/>
          <w:szCs w:val="19"/>
        </w:rPr>
        <w:t>Retrospective,</w:t>
      </w:r>
      <w:proofErr w:type="gramEnd"/>
      <w:r w:rsidRPr="002602B0">
        <w:rPr>
          <w:rFonts w:cstheme="minorHAnsi"/>
          <w:bCs/>
          <w:sz w:val="19"/>
          <w:szCs w:val="19"/>
        </w:rPr>
        <w:t xml:space="preserve"> combined clinical and biochemical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study.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Setting: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Four combined medical/surgical intensive care units.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Patients: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Cohort of 7,024 adult critically ill patients.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Interventions: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None.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Measurements and Main Results: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We studied 177,578 ionized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calcium measurements, from 7024 </w:t>
      </w:r>
      <w:proofErr w:type="gramStart"/>
      <w:r w:rsidRPr="002602B0">
        <w:rPr>
          <w:rFonts w:cstheme="minorHAnsi"/>
          <w:bCs/>
          <w:sz w:val="19"/>
          <w:szCs w:val="19"/>
        </w:rPr>
        <w:t>patients,</w:t>
      </w:r>
      <w:proofErr w:type="gramEnd"/>
      <w:r w:rsidRPr="002602B0">
        <w:rPr>
          <w:rFonts w:cstheme="minorHAnsi"/>
          <w:bCs/>
          <w:sz w:val="19"/>
          <w:szCs w:val="19"/>
        </w:rPr>
        <w:t xml:space="preserve"> with a mean value of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1.11 </w:t>
      </w:r>
      <w:proofErr w:type="spellStart"/>
      <w:r w:rsidRPr="002602B0">
        <w:rPr>
          <w:rFonts w:cstheme="minorHAnsi"/>
          <w:bCs/>
          <w:sz w:val="19"/>
          <w:szCs w:val="19"/>
        </w:rPr>
        <w:t>mmol</w:t>
      </w:r>
      <w:proofErr w:type="spellEnd"/>
      <w:r w:rsidRPr="002602B0">
        <w:rPr>
          <w:rFonts w:cstheme="minorHAnsi"/>
          <w:bCs/>
          <w:sz w:val="19"/>
          <w:szCs w:val="19"/>
        </w:rPr>
        <w:t>/L (ionized calcium measured every 4.5 hrs on average).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The unadjusted lowest and highest ionized calcium reported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during intensive care unit stay were significantly different between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intensive care unit survivors and </w:t>
      </w:r>
      <w:proofErr w:type="spellStart"/>
      <w:r w:rsidRPr="002602B0">
        <w:rPr>
          <w:rFonts w:cstheme="minorHAnsi"/>
          <w:bCs/>
          <w:sz w:val="19"/>
          <w:szCs w:val="19"/>
        </w:rPr>
        <w:t>nonsurvivors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 (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p </w:t>
      </w:r>
      <w:r w:rsidRPr="002602B0">
        <w:rPr>
          <w:rFonts w:cstheme="minorHAnsi"/>
          <w:bCs/>
          <w:sz w:val="19"/>
          <w:szCs w:val="19"/>
        </w:rPr>
        <w:t>&lt; .001).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If </w:t>
      </w:r>
      <w:proofErr w:type="spellStart"/>
      <w:r w:rsidRPr="002602B0">
        <w:rPr>
          <w:rFonts w:cstheme="minorHAnsi"/>
          <w:bCs/>
          <w:sz w:val="19"/>
          <w:szCs w:val="19"/>
        </w:rPr>
        <w:t>hypocalcemia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 occurred at least once during the intensive care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unit stay, the probability of intensive care unit mortality increased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by 46%, 108%, and 150% for ionized calcium levels &lt;1.15, 0.90,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and 0.80 </w:t>
      </w:r>
      <w:proofErr w:type="spellStart"/>
      <w:r w:rsidRPr="002602B0">
        <w:rPr>
          <w:rFonts w:cstheme="minorHAnsi"/>
          <w:bCs/>
          <w:sz w:val="19"/>
          <w:szCs w:val="19"/>
        </w:rPr>
        <w:t>mmol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/L, respectively. If </w:t>
      </w:r>
      <w:proofErr w:type="spellStart"/>
      <w:r w:rsidRPr="002602B0">
        <w:rPr>
          <w:rFonts w:cstheme="minorHAnsi"/>
          <w:bCs/>
          <w:sz w:val="19"/>
          <w:szCs w:val="19"/>
        </w:rPr>
        <w:t>hypercalcemia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 occurred at least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once during the intensive care unit stay, the probability of intensive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care unit mortality increased by 100%, 162%, and 190% for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ionized calcium levels &gt;1.25, 1.35, and 1.45 </w:t>
      </w:r>
      <w:proofErr w:type="spellStart"/>
      <w:r w:rsidRPr="002602B0">
        <w:rPr>
          <w:rFonts w:cstheme="minorHAnsi"/>
          <w:bCs/>
          <w:sz w:val="19"/>
          <w:szCs w:val="19"/>
        </w:rPr>
        <w:t>mmol</w:t>
      </w:r>
      <w:proofErr w:type="spellEnd"/>
      <w:r w:rsidRPr="002602B0">
        <w:rPr>
          <w:rFonts w:cstheme="minorHAnsi"/>
          <w:bCs/>
          <w:sz w:val="19"/>
          <w:szCs w:val="19"/>
        </w:rPr>
        <w:t>/L, respectively.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Cs/>
          <w:sz w:val="19"/>
          <w:szCs w:val="19"/>
        </w:rPr>
        <w:t>Similar trends were seen for hospital mortality. However, from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multivariate logistic regression analysis, only an ionized calcium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 xml:space="preserve">&lt;0.8 </w:t>
      </w:r>
      <w:proofErr w:type="spellStart"/>
      <w:r w:rsidRPr="002602B0">
        <w:rPr>
          <w:rFonts w:cstheme="minorHAnsi"/>
          <w:bCs/>
          <w:sz w:val="19"/>
          <w:szCs w:val="19"/>
        </w:rPr>
        <w:t>mmol</w:t>
      </w:r>
      <w:proofErr w:type="spellEnd"/>
      <w:r w:rsidRPr="002602B0">
        <w:rPr>
          <w:rFonts w:cstheme="minorHAnsi"/>
          <w:bCs/>
          <w:sz w:val="19"/>
          <w:szCs w:val="19"/>
        </w:rPr>
        <w:t xml:space="preserve">/L or an ionized calcium &gt;1.4 </w:t>
      </w:r>
      <w:proofErr w:type="spellStart"/>
      <w:r w:rsidRPr="002602B0">
        <w:rPr>
          <w:rFonts w:cstheme="minorHAnsi"/>
          <w:bCs/>
          <w:sz w:val="19"/>
          <w:szCs w:val="19"/>
        </w:rPr>
        <w:t>mmol</w:t>
      </w:r>
      <w:proofErr w:type="spellEnd"/>
      <w:r w:rsidRPr="002602B0">
        <w:rPr>
          <w:rFonts w:cstheme="minorHAnsi"/>
          <w:bCs/>
          <w:sz w:val="19"/>
          <w:szCs w:val="19"/>
        </w:rPr>
        <w:t>/L were independently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associated with intensive care unit and hospital mortality.</w:t>
      </w:r>
    </w:p>
    <w:p w:rsidR="00824747" w:rsidRPr="002602B0" w:rsidRDefault="00824747" w:rsidP="008247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2602B0">
        <w:rPr>
          <w:rFonts w:cstheme="minorHAnsi"/>
          <w:b/>
          <w:bCs/>
          <w:iCs/>
          <w:sz w:val="19"/>
          <w:szCs w:val="19"/>
        </w:rPr>
        <w:t>Conclusions:</w:t>
      </w:r>
      <w:r w:rsidRPr="002602B0">
        <w:rPr>
          <w:rFonts w:cstheme="minorHAnsi"/>
          <w:bCs/>
          <w:i/>
          <w:i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Within a broad range of values, ionized calcium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concentration has no independent association with hospital or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intensive care unit mortality. Only extreme abnormalities of ionized</w:t>
      </w:r>
      <w:r w:rsidR="002602B0">
        <w:rPr>
          <w:rFonts w:cstheme="minorHAnsi"/>
          <w:bCs/>
          <w:sz w:val="19"/>
          <w:szCs w:val="19"/>
        </w:rPr>
        <w:t xml:space="preserve"> </w:t>
      </w:r>
      <w:r w:rsidRPr="002602B0">
        <w:rPr>
          <w:rFonts w:cstheme="minorHAnsi"/>
          <w:bCs/>
          <w:sz w:val="19"/>
          <w:szCs w:val="19"/>
        </w:rPr>
        <w:t>calcium</w:t>
      </w:r>
      <w:r w:rsidR="002602B0">
        <w:rPr>
          <w:rFonts w:cstheme="minorHAnsi"/>
          <w:bCs/>
          <w:sz w:val="19"/>
          <w:szCs w:val="19"/>
        </w:rPr>
        <w:t xml:space="preserve"> concentrations are independent </w:t>
      </w:r>
      <w:r w:rsidRPr="002602B0">
        <w:rPr>
          <w:rFonts w:cstheme="minorHAnsi"/>
          <w:bCs/>
          <w:sz w:val="19"/>
          <w:szCs w:val="19"/>
        </w:rPr>
        <w:t>predictors of mortality.</w:t>
      </w:r>
    </w:p>
    <w:p w:rsidR="00824747" w:rsidRPr="002602B0" w:rsidRDefault="00824747" w:rsidP="00824747">
      <w:pPr>
        <w:rPr>
          <w:rFonts w:cstheme="minorHAnsi"/>
          <w:bCs/>
          <w:sz w:val="19"/>
          <w:szCs w:val="19"/>
        </w:rPr>
      </w:pPr>
    </w:p>
    <w:p w:rsidR="00E54869" w:rsidRPr="00FF4A3B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B87243">
        <w:rPr>
          <w:rFonts w:cstheme="minorHAnsi"/>
          <w:bCs/>
          <w:sz w:val="19"/>
          <w:szCs w:val="19"/>
        </w:rPr>
        <w:t xml:space="preserve">An ionized calcium &lt; 0.8 </w:t>
      </w:r>
      <w:proofErr w:type="spellStart"/>
      <w:r w:rsidR="00B87243">
        <w:rPr>
          <w:rFonts w:cstheme="minorHAnsi"/>
          <w:bCs/>
          <w:sz w:val="19"/>
          <w:szCs w:val="19"/>
        </w:rPr>
        <w:t>mmol</w:t>
      </w:r>
      <w:proofErr w:type="spellEnd"/>
      <w:r w:rsidR="00B87243">
        <w:rPr>
          <w:rFonts w:cstheme="minorHAnsi"/>
          <w:bCs/>
          <w:sz w:val="19"/>
          <w:szCs w:val="19"/>
        </w:rPr>
        <w:t xml:space="preserve">/L or an ionized calcium &gt; 1.4 </w:t>
      </w:r>
      <w:proofErr w:type="spellStart"/>
      <w:r w:rsidR="00B87243">
        <w:rPr>
          <w:rFonts w:cstheme="minorHAnsi"/>
          <w:bCs/>
          <w:sz w:val="19"/>
          <w:szCs w:val="19"/>
        </w:rPr>
        <w:t>mmol</w:t>
      </w:r>
      <w:proofErr w:type="spellEnd"/>
      <w:r w:rsidR="00B87243">
        <w:rPr>
          <w:rFonts w:cstheme="minorHAnsi"/>
          <w:bCs/>
          <w:sz w:val="19"/>
          <w:szCs w:val="19"/>
        </w:rPr>
        <w:t>/L were independently associated with intensive care unit and hospital mortality</w:t>
      </w:r>
    </w:p>
    <w:p w:rsidR="001237E2" w:rsidRDefault="001237E2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E54869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1237E2">
        <w:rPr>
          <w:rFonts w:cstheme="minorHAnsi"/>
          <w:bCs/>
          <w:sz w:val="19"/>
          <w:szCs w:val="19"/>
        </w:rPr>
        <w:t xml:space="preserve">Admission </w:t>
      </w:r>
      <w:proofErr w:type="spellStart"/>
      <w:proofErr w:type="gramStart"/>
      <w:r w:rsidR="001237E2">
        <w:rPr>
          <w:rFonts w:cstheme="minorHAnsi"/>
          <w:bCs/>
          <w:sz w:val="19"/>
          <w:szCs w:val="19"/>
        </w:rPr>
        <w:t>iCa</w:t>
      </w:r>
      <w:proofErr w:type="spellEnd"/>
      <w:proofErr w:type="gramEnd"/>
      <w:r w:rsidR="001237E2">
        <w:rPr>
          <w:rFonts w:cstheme="minorHAnsi"/>
          <w:bCs/>
          <w:sz w:val="19"/>
          <w:szCs w:val="19"/>
        </w:rPr>
        <w:t xml:space="preserve"> was not significantly related to mortality in adu</w:t>
      </w:r>
      <w:r w:rsidR="00B87243">
        <w:rPr>
          <w:rFonts w:cstheme="minorHAnsi"/>
          <w:bCs/>
          <w:sz w:val="19"/>
          <w:szCs w:val="19"/>
        </w:rPr>
        <w:t>lt critically ill patients</w:t>
      </w:r>
    </w:p>
    <w:p w:rsidR="00B87243" w:rsidRDefault="00B87243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B87243" w:rsidRDefault="003A48C4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>•</w:t>
      </w:r>
      <w:r w:rsidRPr="00C34CB0">
        <w:rPr>
          <w:rFonts w:cstheme="minorHAnsi"/>
          <w:bCs/>
          <w:sz w:val="19"/>
          <w:szCs w:val="19"/>
        </w:rPr>
        <w:t xml:space="preserve"> </w:t>
      </w:r>
      <w:r w:rsidR="00B87243">
        <w:rPr>
          <w:rFonts w:cstheme="minorHAnsi"/>
          <w:bCs/>
          <w:sz w:val="19"/>
          <w:szCs w:val="19"/>
        </w:rPr>
        <w:t>Calcium administration has been reported to increase mortality in septic animal models</w:t>
      </w:r>
    </w:p>
    <w:p w:rsidR="00B87243" w:rsidRDefault="00B87243" w:rsidP="00E548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BD24CA" w:rsidRDefault="00616206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 w:rsidRPr="00616206">
        <w:rPr>
          <w:rFonts w:cstheme="minorHAnsi"/>
          <w:bCs/>
          <w:sz w:val="19"/>
          <w:szCs w:val="19"/>
        </w:rPr>
        <w:t>1.</w:t>
      </w:r>
      <w:r>
        <w:rPr>
          <w:rFonts w:cstheme="minorHAnsi"/>
          <w:bCs/>
          <w:sz w:val="19"/>
          <w:szCs w:val="19"/>
        </w:rPr>
        <w:t xml:space="preserve"> </w:t>
      </w:r>
      <w:r w:rsidR="00980851">
        <w:rPr>
          <w:rFonts w:cstheme="minorHAnsi"/>
          <w:bCs/>
          <w:sz w:val="19"/>
          <w:szCs w:val="19"/>
        </w:rPr>
        <w:t xml:space="preserve"> Which of the following was significantly related to ICU and hospital mortality in critically ill adult patients?</w:t>
      </w:r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 xml:space="preserve">a. Admission </w:t>
      </w:r>
      <w:proofErr w:type="spellStart"/>
      <w:proofErr w:type="gramStart"/>
      <w:r>
        <w:rPr>
          <w:rFonts w:cstheme="minorHAnsi"/>
          <w:bCs/>
          <w:sz w:val="19"/>
          <w:szCs w:val="19"/>
        </w:rPr>
        <w:t>iCa</w:t>
      </w:r>
      <w:proofErr w:type="spellEnd"/>
      <w:proofErr w:type="gramEnd"/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 xml:space="preserve">b. </w:t>
      </w:r>
      <w:proofErr w:type="spellStart"/>
      <w:r>
        <w:rPr>
          <w:rFonts w:cstheme="minorHAnsi"/>
          <w:bCs/>
          <w:sz w:val="19"/>
          <w:szCs w:val="19"/>
        </w:rPr>
        <w:t>Hypocalcemia</w:t>
      </w:r>
      <w:proofErr w:type="spellEnd"/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 xml:space="preserve">c. </w:t>
      </w:r>
      <w:proofErr w:type="spellStart"/>
      <w:r>
        <w:rPr>
          <w:rFonts w:cstheme="minorHAnsi"/>
          <w:bCs/>
          <w:sz w:val="19"/>
          <w:szCs w:val="19"/>
        </w:rPr>
        <w:t>Hypercalcemia</w:t>
      </w:r>
      <w:proofErr w:type="spellEnd"/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  <w:t>d. A and B</w:t>
      </w:r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  <w:r>
        <w:rPr>
          <w:rFonts w:cstheme="minorHAnsi"/>
          <w:bCs/>
          <w:sz w:val="19"/>
          <w:szCs w:val="19"/>
        </w:rPr>
        <w:tab/>
      </w:r>
      <w:r w:rsidRPr="00980851">
        <w:rPr>
          <w:rFonts w:cstheme="minorHAnsi"/>
          <w:bCs/>
          <w:sz w:val="19"/>
          <w:szCs w:val="19"/>
          <w:highlight w:val="yellow"/>
        </w:rPr>
        <w:t>e. B and C</w:t>
      </w:r>
    </w:p>
    <w:p w:rsidR="00980851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980851" w:rsidRPr="00616206" w:rsidRDefault="00980851" w:rsidP="006162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9"/>
          <w:szCs w:val="19"/>
        </w:rPr>
      </w:pPr>
    </w:p>
    <w:p w:rsidR="00CB35D8" w:rsidRPr="00FF4A3B" w:rsidRDefault="00CB35D8" w:rsidP="00CB35D8">
      <w:pPr>
        <w:rPr>
          <w:rFonts w:cstheme="minorHAnsi"/>
        </w:rPr>
      </w:pPr>
    </w:p>
    <w:sectPr w:rsidR="00CB35D8" w:rsidRPr="00FF4A3B" w:rsidSect="00D71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101"/>
    <w:multiLevelType w:val="hybridMultilevel"/>
    <w:tmpl w:val="8F648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33CF"/>
    <w:multiLevelType w:val="hybridMultilevel"/>
    <w:tmpl w:val="2C2C0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700B9"/>
    <w:multiLevelType w:val="hybridMultilevel"/>
    <w:tmpl w:val="0CE6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70503"/>
    <w:multiLevelType w:val="hybridMultilevel"/>
    <w:tmpl w:val="CE62F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35D8"/>
    <w:rsid w:val="001165D8"/>
    <w:rsid w:val="001237E2"/>
    <w:rsid w:val="001E3B99"/>
    <w:rsid w:val="002602B0"/>
    <w:rsid w:val="002F1484"/>
    <w:rsid w:val="003A48C4"/>
    <w:rsid w:val="003B7443"/>
    <w:rsid w:val="005752FD"/>
    <w:rsid w:val="005F492A"/>
    <w:rsid w:val="00616206"/>
    <w:rsid w:val="00670A30"/>
    <w:rsid w:val="006E5613"/>
    <w:rsid w:val="008030B2"/>
    <w:rsid w:val="00824747"/>
    <w:rsid w:val="009559C1"/>
    <w:rsid w:val="00980851"/>
    <w:rsid w:val="00987456"/>
    <w:rsid w:val="00994C79"/>
    <w:rsid w:val="00B87243"/>
    <w:rsid w:val="00BD24CA"/>
    <w:rsid w:val="00C34CB0"/>
    <w:rsid w:val="00CB35D8"/>
    <w:rsid w:val="00D52B86"/>
    <w:rsid w:val="00D71741"/>
    <w:rsid w:val="00E54869"/>
    <w:rsid w:val="00F51725"/>
    <w:rsid w:val="00FF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C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jrs455</cp:lastModifiedBy>
  <cp:revision>20</cp:revision>
  <dcterms:created xsi:type="dcterms:W3CDTF">2011-02-02T14:39:00Z</dcterms:created>
  <dcterms:modified xsi:type="dcterms:W3CDTF">2011-02-03T20:56:00Z</dcterms:modified>
</cp:coreProperties>
</file>