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B2" w:rsidRPr="00E971E7" w:rsidRDefault="004508B2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9"/>
          <w:szCs w:val="19"/>
        </w:rPr>
      </w:pPr>
      <w:r w:rsidRPr="00E971E7">
        <w:rPr>
          <w:rFonts w:cs="HelveticaNeue-BoldCond"/>
          <w:bCs/>
          <w:sz w:val="19"/>
          <w:szCs w:val="19"/>
        </w:rPr>
        <w:t>Crit Care Med 2011; 39:450–455</w:t>
      </w:r>
    </w:p>
    <w:p w:rsidR="004508B2" w:rsidRPr="00AF562A" w:rsidRDefault="004508B2" w:rsidP="004508B2">
      <w:pPr>
        <w:autoSpaceDE w:val="0"/>
        <w:autoSpaceDN w:val="0"/>
        <w:adjustRightInd w:val="0"/>
        <w:spacing w:after="0" w:line="240" w:lineRule="auto"/>
        <w:jc w:val="center"/>
        <w:rPr>
          <w:rFonts w:cs="Clearface-Bold"/>
          <w:b/>
          <w:bCs/>
          <w:sz w:val="28"/>
          <w:szCs w:val="28"/>
        </w:rPr>
      </w:pPr>
      <w:r w:rsidRPr="00AF562A">
        <w:rPr>
          <w:rFonts w:cs="Clearface-Bold"/>
          <w:b/>
          <w:bCs/>
          <w:sz w:val="28"/>
          <w:szCs w:val="28"/>
        </w:rPr>
        <w:t>Comparison of norepinephrine-dobutamine to epinephrine for hemodynamics, lactate metabolism, and organ function variables in cardiogenic shock. A prospective, randomized pilot study</w:t>
      </w:r>
    </w:p>
    <w:p w:rsidR="004508B2" w:rsidRPr="00AF562A" w:rsidRDefault="004508B2" w:rsidP="004508B2">
      <w:pPr>
        <w:autoSpaceDE w:val="0"/>
        <w:autoSpaceDN w:val="0"/>
        <w:adjustRightInd w:val="0"/>
        <w:spacing w:after="0" w:line="240" w:lineRule="auto"/>
        <w:jc w:val="center"/>
        <w:rPr>
          <w:rFonts w:cs="HelveticaNeue-BoldCondObl"/>
          <w:b/>
          <w:bCs/>
          <w:i/>
          <w:iCs/>
          <w:sz w:val="20"/>
          <w:szCs w:val="20"/>
        </w:rPr>
      </w:pPr>
      <w:r w:rsidRPr="00AF562A">
        <w:rPr>
          <w:rFonts w:cs="HelveticaNeue-Condensed"/>
          <w:sz w:val="20"/>
          <w:szCs w:val="20"/>
        </w:rPr>
        <w:t>Bruno Levy, MD, PhD; Pierre Perez, MD; Jessica Perny, MD; Carine Thivilier, MD; Alain Gerard, MD</w:t>
      </w:r>
    </w:p>
    <w:p w:rsidR="00AF562A" w:rsidRDefault="00AF562A" w:rsidP="004508B2">
      <w:pPr>
        <w:autoSpaceDE w:val="0"/>
        <w:autoSpaceDN w:val="0"/>
        <w:adjustRightInd w:val="0"/>
        <w:spacing w:after="0" w:line="240" w:lineRule="auto"/>
        <w:rPr>
          <w:rFonts w:cs="HelveticaNeue-BoldCondObl"/>
          <w:b/>
          <w:bCs/>
          <w:i/>
          <w:iCs/>
          <w:sz w:val="20"/>
          <w:szCs w:val="20"/>
        </w:rPr>
      </w:pPr>
    </w:p>
    <w:p w:rsidR="004508B2" w:rsidRPr="00E971E7" w:rsidRDefault="004508B2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E971E7">
        <w:rPr>
          <w:rFonts w:cs="HelveticaNeue-BoldCondObl"/>
          <w:b/>
          <w:bCs/>
          <w:i/>
          <w:iCs/>
          <w:sz w:val="18"/>
          <w:szCs w:val="18"/>
        </w:rPr>
        <w:t>Objective</w:t>
      </w:r>
      <w:r w:rsidRPr="00AF562A">
        <w:rPr>
          <w:rFonts w:cs="HelveticaNeue-BoldCondObl"/>
          <w:b/>
          <w:bCs/>
          <w:i/>
          <w:iCs/>
          <w:sz w:val="18"/>
          <w:szCs w:val="18"/>
        </w:rPr>
        <w:t xml:space="preserve">: </w:t>
      </w:r>
      <w:r w:rsidRPr="00E971E7">
        <w:rPr>
          <w:rFonts w:cs="HelveticaNeue-BoldCond"/>
          <w:bCs/>
          <w:sz w:val="18"/>
          <w:szCs w:val="18"/>
        </w:rPr>
        <w:t>There is no study that has compared, in a randomized manner, which vasopressor is most suitable in optimizing both systemic and regional hemodynamics in cardiogenic shock patients. Hence, the present study was designed to compare epinephrine and norepinephrine-dobutamine in dopamine-resistant cardiogenic shock.</w:t>
      </w:r>
    </w:p>
    <w:p w:rsidR="004508B2" w:rsidRPr="00E971E7" w:rsidRDefault="004508B2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AF562A">
        <w:rPr>
          <w:rFonts w:cs="HelveticaNeue-BoldCondObl"/>
          <w:b/>
          <w:bCs/>
          <w:i/>
          <w:iCs/>
          <w:sz w:val="18"/>
          <w:szCs w:val="18"/>
        </w:rPr>
        <w:t xml:space="preserve">Design: </w:t>
      </w:r>
      <w:r w:rsidRPr="00E971E7">
        <w:rPr>
          <w:rFonts w:cs="HelveticaNeue-BoldCond"/>
          <w:bCs/>
          <w:sz w:val="18"/>
          <w:szCs w:val="18"/>
        </w:rPr>
        <w:t>Open, randomized interventional human study.</w:t>
      </w:r>
    </w:p>
    <w:p w:rsidR="004508B2" w:rsidRPr="00E971E7" w:rsidRDefault="004508B2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AF562A">
        <w:rPr>
          <w:rFonts w:cs="HelveticaNeue-BoldCondObl"/>
          <w:b/>
          <w:bCs/>
          <w:i/>
          <w:iCs/>
          <w:sz w:val="18"/>
          <w:szCs w:val="18"/>
        </w:rPr>
        <w:t xml:space="preserve">Setting: </w:t>
      </w:r>
      <w:r w:rsidRPr="00E971E7">
        <w:rPr>
          <w:rFonts w:cs="HelveticaNeue-BoldCond"/>
          <w:bCs/>
          <w:sz w:val="18"/>
          <w:szCs w:val="18"/>
        </w:rPr>
        <w:t>Medical intensive care unit in a university hospital.</w:t>
      </w:r>
    </w:p>
    <w:p w:rsidR="004508B2" w:rsidRPr="00E971E7" w:rsidRDefault="004508B2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AF562A">
        <w:rPr>
          <w:rFonts w:cs="HelveticaNeue-BoldCondObl"/>
          <w:b/>
          <w:bCs/>
          <w:i/>
          <w:iCs/>
          <w:sz w:val="18"/>
          <w:szCs w:val="18"/>
        </w:rPr>
        <w:t xml:space="preserve">Patients: </w:t>
      </w:r>
      <w:r w:rsidRPr="00E971E7">
        <w:rPr>
          <w:rFonts w:cs="HelveticaNeue-BoldCond"/>
          <w:bCs/>
          <w:sz w:val="18"/>
          <w:szCs w:val="18"/>
        </w:rPr>
        <w:t xml:space="preserve">Thirty patients with a cardiac index of </w:t>
      </w:r>
      <w:r w:rsidRPr="00E971E7">
        <w:rPr>
          <w:rFonts w:cs="Dutch801BT-Bold"/>
          <w:bCs/>
          <w:sz w:val="18"/>
          <w:szCs w:val="18"/>
        </w:rPr>
        <w:t>&lt;</w:t>
      </w:r>
      <w:r w:rsidRPr="00E971E7">
        <w:rPr>
          <w:rFonts w:cs="HelveticaNeue-BoldCond"/>
          <w:bCs/>
          <w:sz w:val="18"/>
          <w:szCs w:val="18"/>
        </w:rPr>
        <w:t>2.2 L/min</w:t>
      </w:r>
      <w:r w:rsidRPr="00E971E7">
        <w:rPr>
          <w:rFonts w:cs="MathematicalPi-Four"/>
          <w:sz w:val="18"/>
          <w:szCs w:val="18"/>
        </w:rPr>
        <w:t>_</w:t>
      </w:r>
      <w:r w:rsidRPr="00E971E7">
        <w:rPr>
          <w:rFonts w:cs="HelveticaNeue-BoldCond"/>
          <w:bCs/>
          <w:sz w:val="18"/>
          <w:szCs w:val="18"/>
        </w:rPr>
        <w:t>1/m</w:t>
      </w:r>
      <w:r w:rsidRPr="00E971E7">
        <w:rPr>
          <w:rFonts w:cs="MathematicalPi-Four"/>
          <w:sz w:val="18"/>
          <w:szCs w:val="18"/>
        </w:rPr>
        <w:t>_</w:t>
      </w:r>
      <w:r w:rsidRPr="00E971E7">
        <w:rPr>
          <w:rFonts w:cs="HelveticaNeue-BoldCond"/>
          <w:bCs/>
          <w:sz w:val="18"/>
          <w:szCs w:val="18"/>
        </w:rPr>
        <w:t xml:space="preserve">2 and a mean arterial pressure of </w:t>
      </w:r>
      <w:r w:rsidRPr="00E971E7">
        <w:rPr>
          <w:rFonts w:cs="Dutch801BT-Bold"/>
          <w:bCs/>
          <w:sz w:val="18"/>
          <w:szCs w:val="18"/>
        </w:rPr>
        <w:t>&lt;</w:t>
      </w:r>
      <w:r w:rsidRPr="00E971E7">
        <w:rPr>
          <w:rFonts w:cs="HelveticaNeue-BoldCond"/>
          <w:bCs/>
          <w:sz w:val="18"/>
          <w:szCs w:val="18"/>
        </w:rPr>
        <w:t>60 mm Hg resistant to combined dopamine-dobutamine treatment and signs of shock. Patients were not included in cases of cardiogenic shock secondary to acute ischemic events such as myocardial infarction.</w:t>
      </w:r>
      <w:r w:rsidR="00E971E7">
        <w:rPr>
          <w:rFonts w:cs="HelveticaNeue-BoldCond"/>
          <w:bCs/>
          <w:sz w:val="18"/>
          <w:szCs w:val="18"/>
        </w:rPr>
        <w:t xml:space="preserve"> </w:t>
      </w:r>
      <w:r w:rsidRPr="00E971E7">
        <w:rPr>
          <w:rFonts w:cs="HelveticaNeue-BoldCond"/>
          <w:bCs/>
          <w:sz w:val="18"/>
          <w:szCs w:val="18"/>
        </w:rPr>
        <w:t>Noninclusion criteria also included immediate indication of mechanical assistance.</w:t>
      </w:r>
    </w:p>
    <w:p w:rsidR="004508B2" w:rsidRPr="00E971E7" w:rsidRDefault="004508B2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AF562A">
        <w:rPr>
          <w:rFonts w:cs="HelveticaNeue-BoldCondObl"/>
          <w:b/>
          <w:bCs/>
          <w:i/>
          <w:iCs/>
          <w:sz w:val="18"/>
          <w:szCs w:val="18"/>
        </w:rPr>
        <w:t xml:space="preserve">Interventions: </w:t>
      </w:r>
      <w:r w:rsidRPr="00E971E7">
        <w:rPr>
          <w:rFonts w:cs="HelveticaNeue-BoldCond"/>
          <w:bCs/>
          <w:sz w:val="18"/>
          <w:szCs w:val="18"/>
        </w:rPr>
        <w:t>Patients were randomized to receive an infusion of either norepinephrine-dobutamine or epinephrine titrated to obtain a mean arterial pressure of between 65 and 70 mm Hg with a stable or increased cardiac index.</w:t>
      </w:r>
    </w:p>
    <w:p w:rsidR="004508B2" w:rsidRPr="00E971E7" w:rsidRDefault="004508B2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AF562A">
        <w:rPr>
          <w:rFonts w:cs="HelveticaNeue-BoldCondObl"/>
          <w:b/>
          <w:bCs/>
          <w:i/>
          <w:iCs/>
          <w:sz w:val="18"/>
          <w:szCs w:val="18"/>
        </w:rPr>
        <w:t xml:space="preserve">Main Results: </w:t>
      </w:r>
      <w:r w:rsidRPr="00E971E7">
        <w:rPr>
          <w:rFonts w:cs="HelveticaNeue-BoldCond"/>
          <w:bCs/>
          <w:sz w:val="18"/>
          <w:szCs w:val="18"/>
        </w:rPr>
        <w:t>Both regimens increased cardiac index and oxygen-derived parameters in a similar manner. Patients in the norepinephrine-dobutamine group demonstrated heart rates lower (</w:t>
      </w:r>
      <w:r w:rsidRPr="00E971E7">
        <w:rPr>
          <w:rFonts w:cs="HelveticaNeue-BoldCondObl"/>
          <w:bCs/>
          <w:i/>
          <w:iCs/>
          <w:sz w:val="18"/>
          <w:szCs w:val="18"/>
        </w:rPr>
        <w:t xml:space="preserve">p </w:t>
      </w:r>
      <w:r w:rsidRPr="00E971E7">
        <w:rPr>
          <w:rFonts w:cs="Dutch801BT-Bold"/>
          <w:bCs/>
          <w:sz w:val="18"/>
          <w:szCs w:val="18"/>
        </w:rPr>
        <w:t xml:space="preserve">&lt; </w:t>
      </w:r>
      <w:r w:rsidRPr="00E971E7">
        <w:rPr>
          <w:rFonts w:cs="HelveticaNeue-BoldCond"/>
          <w:bCs/>
          <w:sz w:val="18"/>
          <w:szCs w:val="18"/>
        </w:rPr>
        <w:t>.05) than those in the epinephrine group. Epinephrine infusion was associated with new arrhythmias in three patients.</w:t>
      </w:r>
      <w:r w:rsidR="00E971E7">
        <w:rPr>
          <w:rFonts w:cs="HelveticaNeue-BoldCond"/>
          <w:bCs/>
          <w:sz w:val="18"/>
          <w:szCs w:val="18"/>
        </w:rPr>
        <w:t xml:space="preserve"> </w:t>
      </w:r>
      <w:r w:rsidRPr="00E971E7">
        <w:rPr>
          <w:rFonts w:cs="HelveticaNeue-BoldCond"/>
          <w:bCs/>
          <w:sz w:val="18"/>
          <w:szCs w:val="18"/>
        </w:rPr>
        <w:t>When compared to baseline values, after 6 hrs, epinephrine infusion was associated with an increase in lactate level (</w:t>
      </w:r>
      <w:r w:rsidRPr="00E971E7">
        <w:rPr>
          <w:rFonts w:cs="HelveticaNeue-BoldCondObl"/>
          <w:bCs/>
          <w:i/>
          <w:iCs/>
          <w:sz w:val="18"/>
          <w:szCs w:val="18"/>
        </w:rPr>
        <w:t xml:space="preserve">p </w:t>
      </w:r>
      <w:r w:rsidRPr="00E971E7">
        <w:rPr>
          <w:rFonts w:cs="Dutch801BT-Bold"/>
          <w:bCs/>
          <w:sz w:val="18"/>
          <w:szCs w:val="18"/>
        </w:rPr>
        <w:t xml:space="preserve">&lt; </w:t>
      </w:r>
      <w:r w:rsidRPr="00E971E7">
        <w:rPr>
          <w:rFonts w:cs="HelveticaNeue-BoldCond"/>
          <w:bCs/>
          <w:sz w:val="18"/>
          <w:szCs w:val="18"/>
        </w:rPr>
        <w:t>.01), whereas this level decreased in the norepinephrine-dobutamine group. Tonometered PCO2 gap, a surrogate for splanchnic perfusion adequacy, increased in the epinephrine-treated group (</w:t>
      </w:r>
      <w:r w:rsidRPr="00E971E7">
        <w:rPr>
          <w:rFonts w:cs="HelveticaNeue-BoldCondObl"/>
          <w:bCs/>
          <w:i/>
          <w:iCs/>
          <w:sz w:val="18"/>
          <w:szCs w:val="18"/>
        </w:rPr>
        <w:t xml:space="preserve">p </w:t>
      </w:r>
      <w:r w:rsidRPr="00E971E7">
        <w:rPr>
          <w:rFonts w:cs="Dutch801BT-Bold"/>
          <w:bCs/>
          <w:sz w:val="18"/>
          <w:szCs w:val="18"/>
        </w:rPr>
        <w:t>&lt;</w:t>
      </w:r>
      <w:r w:rsidR="00E971E7">
        <w:rPr>
          <w:rFonts w:cs="HelveticaNeue-BoldCond"/>
          <w:bCs/>
          <w:sz w:val="18"/>
          <w:szCs w:val="18"/>
        </w:rPr>
        <w:t xml:space="preserve"> </w:t>
      </w:r>
      <w:r w:rsidRPr="00E971E7">
        <w:rPr>
          <w:rFonts w:cs="HelveticaNeue-BoldCond"/>
          <w:bCs/>
          <w:sz w:val="18"/>
          <w:szCs w:val="18"/>
        </w:rPr>
        <w:t>.01) while decreasing in the norepinephrine group (</w:t>
      </w:r>
      <w:r w:rsidRPr="00E971E7">
        <w:rPr>
          <w:rFonts w:cs="HelveticaNeue-BoldCondObl"/>
          <w:bCs/>
          <w:i/>
          <w:iCs/>
          <w:sz w:val="18"/>
          <w:szCs w:val="18"/>
        </w:rPr>
        <w:t xml:space="preserve">p </w:t>
      </w:r>
      <w:r w:rsidRPr="00E971E7">
        <w:rPr>
          <w:rFonts w:cs="Dutch801BT-Bold"/>
          <w:bCs/>
          <w:sz w:val="18"/>
          <w:szCs w:val="18"/>
        </w:rPr>
        <w:t xml:space="preserve">&lt; </w:t>
      </w:r>
      <w:r w:rsidRPr="00E971E7">
        <w:rPr>
          <w:rFonts w:cs="HelveticaNeue-BoldCond"/>
          <w:bCs/>
          <w:sz w:val="18"/>
          <w:szCs w:val="18"/>
        </w:rPr>
        <w:t>.01). Diuresis increased in both groups but significantly more so in the norepinephrine-dobutamine group, whereas plasma creatinine decreased in both groups.</w:t>
      </w:r>
    </w:p>
    <w:p w:rsidR="007311CC" w:rsidRPr="00E971E7" w:rsidRDefault="004508B2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AF562A">
        <w:rPr>
          <w:rFonts w:cs="HelveticaNeue-BoldCondObl"/>
          <w:b/>
          <w:bCs/>
          <w:i/>
          <w:iCs/>
          <w:sz w:val="18"/>
          <w:szCs w:val="18"/>
        </w:rPr>
        <w:t xml:space="preserve">Conclusions: </w:t>
      </w:r>
      <w:r w:rsidRPr="00E971E7">
        <w:rPr>
          <w:rFonts w:cs="HelveticaNeue-BoldCond"/>
          <w:bCs/>
          <w:sz w:val="18"/>
          <w:szCs w:val="18"/>
        </w:rPr>
        <w:t>When considering global hemodynamic effects, epinephrine is as effective as norepinephrine-dobutamine. Nevertheless, epinephrine is associated with a transient lactic acidosis, higher heart rate and arrhythmia, and inadequate gastric mucosa perfusion. Thus, the combination norepinephrine-dobutamine</w:t>
      </w:r>
      <w:r w:rsidR="00E971E7">
        <w:rPr>
          <w:rFonts w:cs="HelveticaNeue-BoldCond"/>
          <w:bCs/>
          <w:sz w:val="18"/>
          <w:szCs w:val="18"/>
        </w:rPr>
        <w:t xml:space="preserve"> </w:t>
      </w:r>
      <w:r w:rsidRPr="00E971E7">
        <w:rPr>
          <w:rFonts w:cs="HelveticaNeue-BoldCond"/>
          <w:bCs/>
          <w:sz w:val="18"/>
          <w:szCs w:val="18"/>
        </w:rPr>
        <w:t xml:space="preserve">appears to be a more reliable and safer strategy. </w:t>
      </w:r>
    </w:p>
    <w:p w:rsidR="00D41DAE" w:rsidRDefault="00D41DAE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/>
          <w:bCs/>
          <w:sz w:val="20"/>
          <w:szCs w:val="20"/>
        </w:rPr>
      </w:pPr>
    </w:p>
    <w:p w:rsidR="00D41DAE" w:rsidRPr="00E971E7" w:rsidRDefault="00D41DAE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>• There are no clear recommendations for specific catecholamine use in cardiogenic shock.</w:t>
      </w:r>
    </w:p>
    <w:p w:rsidR="00F519B1" w:rsidRDefault="00F519B1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D41DAE" w:rsidRPr="00E971E7" w:rsidRDefault="00D41DAE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>• Dopamine should not be used because it has been demonstrated to increase mortality in cardiogrnic shock.</w:t>
      </w:r>
    </w:p>
    <w:p w:rsidR="00F519B1" w:rsidRDefault="00F519B1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D41DAE" w:rsidRPr="00E971E7" w:rsidRDefault="00D41DAE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 xml:space="preserve">• Commonly use combination of dobutamine </w:t>
      </w:r>
      <w:r w:rsidR="006020BE" w:rsidRPr="00E971E7">
        <w:rPr>
          <w:rFonts w:cs="HelveticaNeue-BoldCond"/>
          <w:bCs/>
          <w:sz w:val="20"/>
          <w:szCs w:val="20"/>
        </w:rPr>
        <w:t xml:space="preserve">+ NE or just EPI.  These drugs increase heart rate and systemic vascular resistance and thus may increase myocardial oxygen demand, aggravate ischemia, and lead to cardiac arrhythmias. </w:t>
      </w:r>
    </w:p>
    <w:p w:rsidR="00F519B1" w:rsidRDefault="00F519B1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D41DAE" w:rsidRPr="00E971E7" w:rsidRDefault="00D41DAE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>•</w:t>
      </w:r>
      <w:r w:rsidR="006020BE" w:rsidRPr="00E971E7">
        <w:rPr>
          <w:rFonts w:cs="HelveticaNeue-BoldCond"/>
          <w:bCs/>
          <w:sz w:val="20"/>
          <w:szCs w:val="20"/>
        </w:rPr>
        <w:t xml:space="preserve"> Both EPI and NE-Dobutamine improved ABP, oxygen delivery and renal perfusion in patients with cardiogenic shock after failure of dopamine alone.</w:t>
      </w:r>
    </w:p>
    <w:p w:rsidR="00F519B1" w:rsidRDefault="00F519B1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D41DAE" w:rsidRPr="00E971E7" w:rsidRDefault="00D41DAE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>•</w:t>
      </w:r>
      <w:r w:rsidR="006020BE" w:rsidRPr="00E971E7">
        <w:rPr>
          <w:rFonts w:cs="HelveticaNeue-BoldCond"/>
          <w:bCs/>
          <w:sz w:val="20"/>
          <w:szCs w:val="20"/>
        </w:rPr>
        <w:t xml:space="preserve"> EPI use was associated with the development of new arrhythmias, transient increases in HR, lactate and insulin requirement and inadequate gastric mucosa perfusion (increased PCO</w:t>
      </w:r>
      <w:r w:rsidR="006020BE" w:rsidRPr="00E971E7">
        <w:rPr>
          <w:rFonts w:cs="HelveticaNeue-BoldCond"/>
          <w:bCs/>
          <w:sz w:val="20"/>
          <w:szCs w:val="20"/>
          <w:vertAlign w:val="subscript"/>
        </w:rPr>
        <w:t>2</w:t>
      </w:r>
      <w:r w:rsidR="006020BE" w:rsidRPr="00E971E7">
        <w:rPr>
          <w:rFonts w:cs="HelveticaNeue-BoldCond"/>
          <w:bCs/>
          <w:sz w:val="20"/>
          <w:szCs w:val="20"/>
        </w:rPr>
        <w:t xml:space="preserve"> gap)</w:t>
      </w:r>
    </w:p>
    <w:p w:rsidR="006020BE" w:rsidRPr="00E971E7" w:rsidRDefault="006020BE" w:rsidP="004508B2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6020BE" w:rsidRPr="00E971E7" w:rsidRDefault="006020BE" w:rsidP="006020BE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>1.  All of the following</w:t>
      </w:r>
      <w:r w:rsidR="00892FE7" w:rsidRPr="00E971E7">
        <w:rPr>
          <w:rFonts w:cs="HelveticaNeue-BoldCond"/>
          <w:bCs/>
          <w:sz w:val="20"/>
          <w:szCs w:val="20"/>
        </w:rPr>
        <w:t xml:space="preserve"> are potential side effects of vasopressors in cardiogenic shock</w:t>
      </w:r>
      <w:r w:rsidRPr="00E971E7">
        <w:rPr>
          <w:rFonts w:cs="HelveticaNeue-BoldCond"/>
          <w:bCs/>
          <w:sz w:val="20"/>
          <w:szCs w:val="20"/>
        </w:rPr>
        <w:t xml:space="preserve"> EXCEPT:</w:t>
      </w:r>
    </w:p>
    <w:p w:rsidR="006020BE" w:rsidRPr="00E971E7" w:rsidRDefault="006020BE" w:rsidP="006020BE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ab/>
        <w:t>a. In</w:t>
      </w:r>
      <w:r w:rsidR="00892FE7" w:rsidRPr="00E971E7">
        <w:rPr>
          <w:rFonts w:cs="HelveticaNeue-BoldCond"/>
          <w:bCs/>
          <w:sz w:val="20"/>
          <w:szCs w:val="20"/>
        </w:rPr>
        <w:t>creased myocardial oxygen consumption and cardiac ischemia</w:t>
      </w:r>
    </w:p>
    <w:p w:rsidR="006020BE" w:rsidRPr="00E971E7" w:rsidRDefault="00892FE7" w:rsidP="006020BE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ab/>
        <w:t>b. Excessive left ventricular afterload with a decrease in cardiac output</w:t>
      </w:r>
    </w:p>
    <w:p w:rsidR="006020BE" w:rsidRPr="00E971E7" w:rsidRDefault="006020BE" w:rsidP="006020BE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ab/>
        <w:t xml:space="preserve">c. </w:t>
      </w:r>
      <w:r w:rsidRPr="00E971E7">
        <w:rPr>
          <w:rFonts w:cs="HelveticaNeue-BoldCond"/>
          <w:bCs/>
          <w:sz w:val="20"/>
          <w:szCs w:val="20"/>
          <w:highlight w:val="yellow"/>
        </w:rPr>
        <w:t>Decreased systemic vascular resistance</w:t>
      </w:r>
      <w:r w:rsidR="00892FE7" w:rsidRPr="00E971E7">
        <w:rPr>
          <w:rFonts w:cs="HelveticaNeue-BoldCond"/>
          <w:bCs/>
          <w:sz w:val="20"/>
          <w:szCs w:val="20"/>
          <w:highlight w:val="yellow"/>
        </w:rPr>
        <w:t xml:space="preserve"> with venous blood pooling</w:t>
      </w:r>
    </w:p>
    <w:p w:rsidR="006020BE" w:rsidRPr="00E971E7" w:rsidRDefault="006020BE" w:rsidP="006020BE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ab/>
        <w:t>d. Cardiac arrhythmias</w:t>
      </w:r>
      <w:r w:rsidR="00892FE7" w:rsidRPr="00E971E7">
        <w:rPr>
          <w:rFonts w:cs="HelveticaNeue-BoldCond"/>
          <w:bCs/>
          <w:sz w:val="20"/>
          <w:szCs w:val="20"/>
        </w:rPr>
        <w:t xml:space="preserve"> due to excessive intracellular calcium load</w:t>
      </w:r>
    </w:p>
    <w:p w:rsidR="006020BE" w:rsidRPr="00E971E7" w:rsidRDefault="006020BE" w:rsidP="006020BE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6020BE" w:rsidRPr="00E971E7" w:rsidRDefault="006020BE" w:rsidP="006020BE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>2. The PCO</w:t>
      </w:r>
      <w:r w:rsidRPr="00E971E7">
        <w:rPr>
          <w:rFonts w:cs="HelveticaNeue-BoldCond"/>
          <w:bCs/>
          <w:sz w:val="20"/>
          <w:szCs w:val="20"/>
          <w:vertAlign w:val="subscript"/>
        </w:rPr>
        <w:t>2</w:t>
      </w:r>
      <w:r w:rsidRPr="00E971E7">
        <w:rPr>
          <w:rFonts w:cs="HelveticaNeue-BoldCond"/>
          <w:bCs/>
          <w:sz w:val="20"/>
          <w:szCs w:val="20"/>
        </w:rPr>
        <w:t xml:space="preserve"> gap is an index of which of the following?</w:t>
      </w:r>
    </w:p>
    <w:p w:rsidR="006020BE" w:rsidRPr="00E971E7" w:rsidRDefault="006020BE" w:rsidP="006020BE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ab/>
        <w:t xml:space="preserve">a. </w:t>
      </w:r>
      <w:r w:rsidR="00892FE7" w:rsidRPr="00E971E7">
        <w:rPr>
          <w:rFonts w:cs="HelveticaNeue-BoldCond"/>
          <w:bCs/>
          <w:sz w:val="20"/>
          <w:szCs w:val="20"/>
        </w:rPr>
        <w:t>Adequacy of v</w:t>
      </w:r>
      <w:r w:rsidRPr="00E971E7">
        <w:rPr>
          <w:rFonts w:cs="HelveticaNeue-BoldCond"/>
          <w:bCs/>
          <w:sz w:val="20"/>
          <w:szCs w:val="20"/>
        </w:rPr>
        <w:t>entilation</w:t>
      </w:r>
    </w:p>
    <w:p w:rsidR="00892FE7" w:rsidRPr="00E971E7" w:rsidRDefault="00892FE7" w:rsidP="006020BE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ab/>
      </w:r>
      <w:r w:rsidRPr="00E971E7">
        <w:rPr>
          <w:rFonts w:cs="HelveticaNeue-BoldCond"/>
          <w:bCs/>
          <w:sz w:val="20"/>
          <w:szCs w:val="20"/>
          <w:highlight w:val="yellow"/>
        </w:rPr>
        <w:t>b. Gastric mucosal perfusion</w:t>
      </w:r>
    </w:p>
    <w:p w:rsidR="00892FE7" w:rsidRPr="00E971E7" w:rsidRDefault="00892FE7" w:rsidP="006020BE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ab/>
        <w:t>c. Renal blood flow</w:t>
      </w:r>
    </w:p>
    <w:p w:rsidR="00892FE7" w:rsidRPr="00E971E7" w:rsidRDefault="00892FE7" w:rsidP="006020BE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  <w:r w:rsidRPr="00E971E7">
        <w:rPr>
          <w:rFonts w:cs="HelveticaNeue-BoldCond"/>
          <w:bCs/>
          <w:sz w:val="20"/>
          <w:szCs w:val="20"/>
        </w:rPr>
        <w:tab/>
        <w:t>d. Myocardial ischemia</w:t>
      </w:r>
    </w:p>
    <w:p w:rsidR="00892FE7" w:rsidRPr="00E971E7" w:rsidRDefault="00892FE7" w:rsidP="006020BE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20"/>
          <w:szCs w:val="20"/>
        </w:rPr>
      </w:pPr>
    </w:p>
    <w:p w:rsidR="008A2BD9" w:rsidRPr="008A2BD9" w:rsidRDefault="008A2BD9" w:rsidP="00B25E9F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9"/>
          <w:szCs w:val="19"/>
        </w:rPr>
      </w:pPr>
      <w:r w:rsidRPr="008A2BD9">
        <w:rPr>
          <w:rFonts w:cs="HelveticaNeue-BoldCond"/>
          <w:bCs/>
          <w:sz w:val="19"/>
          <w:szCs w:val="19"/>
        </w:rPr>
        <w:lastRenderedPageBreak/>
        <w:t>Crit Care Med 2011; 39:245–</w:t>
      </w:r>
      <w:r>
        <w:rPr>
          <w:rFonts w:cs="HelveticaNeue-BoldCond"/>
          <w:bCs/>
          <w:sz w:val="19"/>
          <w:szCs w:val="19"/>
        </w:rPr>
        <w:t>251</w:t>
      </w:r>
    </w:p>
    <w:p w:rsidR="00B25E9F" w:rsidRPr="008A2BD9" w:rsidRDefault="00B25E9F" w:rsidP="008A2BD9">
      <w:pPr>
        <w:autoSpaceDE w:val="0"/>
        <w:autoSpaceDN w:val="0"/>
        <w:adjustRightInd w:val="0"/>
        <w:spacing w:after="0" w:line="240" w:lineRule="auto"/>
        <w:jc w:val="center"/>
        <w:rPr>
          <w:rFonts w:cs="Clearface-Bold"/>
          <w:b/>
          <w:bCs/>
          <w:sz w:val="32"/>
          <w:szCs w:val="32"/>
        </w:rPr>
      </w:pPr>
      <w:r w:rsidRPr="008A2BD9">
        <w:rPr>
          <w:rFonts w:cs="Clearface-Bold"/>
          <w:b/>
          <w:bCs/>
          <w:sz w:val="32"/>
          <w:szCs w:val="32"/>
        </w:rPr>
        <w:t>Clinical effectiveness and risk of emerging resistance associated</w:t>
      </w:r>
    </w:p>
    <w:p w:rsidR="00B25E9F" w:rsidRPr="008A2BD9" w:rsidRDefault="00B25E9F" w:rsidP="008A2BD9">
      <w:pPr>
        <w:autoSpaceDE w:val="0"/>
        <w:autoSpaceDN w:val="0"/>
        <w:adjustRightInd w:val="0"/>
        <w:spacing w:after="0" w:line="240" w:lineRule="auto"/>
        <w:jc w:val="center"/>
        <w:rPr>
          <w:rFonts w:cs="Clearface-Bold"/>
          <w:bCs/>
          <w:sz w:val="36"/>
          <w:szCs w:val="36"/>
        </w:rPr>
      </w:pPr>
      <w:r w:rsidRPr="008A2BD9">
        <w:rPr>
          <w:rFonts w:cs="Clearface-Bold"/>
          <w:b/>
          <w:bCs/>
          <w:sz w:val="32"/>
          <w:szCs w:val="32"/>
        </w:rPr>
        <w:t>with prolonged use of antibiotic-impregnated catheters: More than</w:t>
      </w:r>
      <w:r w:rsidR="008A2BD9">
        <w:rPr>
          <w:rFonts w:cs="Clearface-Bold"/>
          <w:b/>
          <w:bCs/>
          <w:sz w:val="32"/>
          <w:szCs w:val="32"/>
        </w:rPr>
        <w:t xml:space="preserve"> </w:t>
      </w:r>
      <w:r w:rsidRPr="008A2BD9">
        <w:rPr>
          <w:rFonts w:cs="Clearface-Bold"/>
          <w:b/>
          <w:bCs/>
          <w:sz w:val="32"/>
          <w:szCs w:val="32"/>
        </w:rPr>
        <w:t>0.5 million cathet</w:t>
      </w:r>
      <w:r w:rsidR="008A2BD9" w:rsidRPr="008A2BD9">
        <w:rPr>
          <w:rFonts w:cs="Clearface-Bold"/>
          <w:b/>
          <w:bCs/>
          <w:sz w:val="32"/>
          <w:szCs w:val="32"/>
        </w:rPr>
        <w:t>er days and 7 years of clinical experience</w:t>
      </w:r>
    </w:p>
    <w:p w:rsidR="00B25E9F" w:rsidRPr="008A2BD9" w:rsidRDefault="00B25E9F" w:rsidP="008A2BD9">
      <w:pPr>
        <w:autoSpaceDE w:val="0"/>
        <w:autoSpaceDN w:val="0"/>
        <w:adjustRightInd w:val="0"/>
        <w:spacing w:after="0" w:line="240" w:lineRule="auto"/>
        <w:jc w:val="center"/>
        <w:rPr>
          <w:rFonts w:cs="HelveticaNeue-Condensed"/>
          <w:sz w:val="20"/>
          <w:szCs w:val="20"/>
        </w:rPr>
      </w:pPr>
      <w:r w:rsidRPr="008A2BD9">
        <w:rPr>
          <w:rFonts w:cs="HelveticaNeue-Condensed"/>
          <w:sz w:val="20"/>
          <w:szCs w:val="20"/>
        </w:rPr>
        <w:t xml:space="preserve">Elizabeth R. Ramos, MD; Ruth Reitzel, BS; Ying Jiang, MS; Ray Y. </w:t>
      </w:r>
      <w:proofErr w:type="spellStart"/>
      <w:r w:rsidRPr="008A2BD9">
        <w:rPr>
          <w:rFonts w:cs="HelveticaNeue-Condensed"/>
          <w:sz w:val="20"/>
          <w:szCs w:val="20"/>
        </w:rPr>
        <w:t>Hachem</w:t>
      </w:r>
      <w:proofErr w:type="spellEnd"/>
      <w:r w:rsidRPr="008A2BD9">
        <w:rPr>
          <w:rFonts w:cs="HelveticaNeue-Condensed"/>
          <w:sz w:val="20"/>
          <w:szCs w:val="20"/>
        </w:rPr>
        <w:t xml:space="preserve">, MD; Ann Marie </w:t>
      </w:r>
      <w:proofErr w:type="spellStart"/>
      <w:r w:rsidRPr="008A2BD9">
        <w:rPr>
          <w:rFonts w:cs="HelveticaNeue-Condensed"/>
          <w:sz w:val="20"/>
          <w:szCs w:val="20"/>
        </w:rPr>
        <w:t>Chaftari</w:t>
      </w:r>
      <w:proofErr w:type="spellEnd"/>
      <w:r w:rsidRPr="008A2BD9">
        <w:rPr>
          <w:rFonts w:cs="HelveticaNeue-Condensed"/>
          <w:sz w:val="20"/>
          <w:szCs w:val="20"/>
        </w:rPr>
        <w:t>, MD;</w:t>
      </w:r>
      <w:r w:rsidR="008A2BD9" w:rsidRPr="008A2BD9">
        <w:rPr>
          <w:rFonts w:cs="HelveticaNeue-Condensed"/>
          <w:sz w:val="20"/>
          <w:szCs w:val="20"/>
        </w:rPr>
        <w:t xml:space="preserve"> </w:t>
      </w:r>
      <w:r w:rsidRPr="008A2BD9">
        <w:rPr>
          <w:rFonts w:cs="HelveticaNeue-Condensed"/>
          <w:sz w:val="20"/>
          <w:szCs w:val="20"/>
        </w:rPr>
        <w:t xml:space="preserve">Roy F. </w:t>
      </w:r>
      <w:proofErr w:type="spellStart"/>
      <w:r w:rsidRPr="008A2BD9">
        <w:rPr>
          <w:rFonts w:cs="HelveticaNeue-Condensed"/>
          <w:sz w:val="20"/>
          <w:szCs w:val="20"/>
        </w:rPr>
        <w:t>Chemaly</w:t>
      </w:r>
      <w:proofErr w:type="spellEnd"/>
      <w:r w:rsidRPr="008A2BD9">
        <w:rPr>
          <w:rFonts w:cs="HelveticaNeue-Condensed"/>
          <w:sz w:val="20"/>
          <w:szCs w:val="20"/>
        </w:rPr>
        <w:t xml:space="preserve">, MD, MPH; Brenda Hackett, BS, MPH; S. Egbert </w:t>
      </w:r>
      <w:proofErr w:type="spellStart"/>
      <w:r w:rsidRPr="008A2BD9">
        <w:rPr>
          <w:rFonts w:cs="HelveticaNeue-Condensed"/>
          <w:sz w:val="20"/>
          <w:szCs w:val="20"/>
        </w:rPr>
        <w:t>Pravinkumar</w:t>
      </w:r>
      <w:proofErr w:type="spellEnd"/>
      <w:r w:rsidRPr="008A2BD9">
        <w:rPr>
          <w:rFonts w:cs="HelveticaNeue-Condensed"/>
          <w:sz w:val="20"/>
          <w:szCs w:val="20"/>
        </w:rPr>
        <w:t xml:space="preserve">, MD; Joseph </w:t>
      </w:r>
      <w:proofErr w:type="spellStart"/>
      <w:r w:rsidRPr="008A2BD9">
        <w:rPr>
          <w:rFonts w:cs="HelveticaNeue-Condensed"/>
          <w:sz w:val="20"/>
          <w:szCs w:val="20"/>
        </w:rPr>
        <w:t>Nates</w:t>
      </w:r>
      <w:proofErr w:type="spellEnd"/>
      <w:r w:rsidRPr="008A2BD9">
        <w:rPr>
          <w:rFonts w:cs="HelveticaNeue-Condensed"/>
          <w:sz w:val="20"/>
          <w:szCs w:val="20"/>
        </w:rPr>
        <w:t>, MD;</w:t>
      </w:r>
      <w:r w:rsidR="008A2BD9" w:rsidRPr="008A2BD9">
        <w:rPr>
          <w:rFonts w:cs="HelveticaNeue-Condensed"/>
          <w:sz w:val="20"/>
          <w:szCs w:val="20"/>
        </w:rPr>
        <w:t xml:space="preserve"> </w:t>
      </w:r>
      <w:r w:rsidRPr="008A2BD9">
        <w:rPr>
          <w:rFonts w:cs="HelveticaNeue-Condensed"/>
          <w:sz w:val="20"/>
          <w:szCs w:val="20"/>
        </w:rPr>
        <w:t xml:space="preserve">Jeffrey J. </w:t>
      </w:r>
      <w:proofErr w:type="spellStart"/>
      <w:r w:rsidRPr="008A2BD9">
        <w:rPr>
          <w:rFonts w:cs="HelveticaNeue-Condensed"/>
          <w:sz w:val="20"/>
          <w:szCs w:val="20"/>
        </w:rPr>
        <w:t>Tarrand</w:t>
      </w:r>
      <w:proofErr w:type="spellEnd"/>
      <w:r w:rsidRPr="008A2BD9">
        <w:rPr>
          <w:rFonts w:cs="HelveticaNeue-Condensed"/>
          <w:sz w:val="20"/>
          <w:szCs w:val="20"/>
        </w:rPr>
        <w:t xml:space="preserve">, MD; </w:t>
      </w:r>
      <w:proofErr w:type="spellStart"/>
      <w:r w:rsidRPr="008A2BD9">
        <w:rPr>
          <w:rFonts w:cs="HelveticaNeue-Condensed"/>
          <w:sz w:val="20"/>
          <w:szCs w:val="20"/>
        </w:rPr>
        <w:t>Issam</w:t>
      </w:r>
      <w:proofErr w:type="spellEnd"/>
      <w:r w:rsidRPr="008A2BD9">
        <w:rPr>
          <w:rFonts w:cs="HelveticaNeue-Condensed"/>
          <w:sz w:val="20"/>
          <w:szCs w:val="20"/>
        </w:rPr>
        <w:t xml:space="preserve"> I. </w:t>
      </w:r>
      <w:proofErr w:type="spellStart"/>
      <w:r w:rsidRPr="008A2BD9">
        <w:rPr>
          <w:rFonts w:cs="HelveticaNeue-Condensed"/>
          <w:sz w:val="20"/>
          <w:szCs w:val="20"/>
        </w:rPr>
        <w:t>Raad</w:t>
      </w:r>
      <w:proofErr w:type="spellEnd"/>
      <w:r w:rsidRPr="008A2BD9">
        <w:rPr>
          <w:rFonts w:cs="HelveticaNeue-Condensed"/>
          <w:sz w:val="20"/>
          <w:szCs w:val="20"/>
        </w:rPr>
        <w:t>, MD</w:t>
      </w:r>
    </w:p>
    <w:p w:rsidR="00B25E9F" w:rsidRPr="008A2BD9" w:rsidRDefault="00B25E9F" w:rsidP="00B25E9F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8A2BD9">
        <w:rPr>
          <w:rFonts w:cs="HelveticaNeue-BoldCondObl"/>
          <w:b/>
          <w:bCs/>
          <w:i/>
          <w:iCs/>
          <w:sz w:val="18"/>
          <w:szCs w:val="18"/>
        </w:rPr>
        <w:t>Objectives</w:t>
      </w:r>
      <w:r w:rsidRPr="008A2BD9">
        <w:rPr>
          <w:rFonts w:cs="HelveticaNeue-BoldCondObl"/>
          <w:bCs/>
          <w:i/>
          <w:iCs/>
          <w:sz w:val="18"/>
          <w:szCs w:val="18"/>
        </w:rPr>
        <w:t xml:space="preserve">: </w:t>
      </w:r>
      <w:r w:rsidRPr="008A2BD9">
        <w:rPr>
          <w:rFonts w:cs="HelveticaNeue-BoldCond"/>
          <w:bCs/>
          <w:sz w:val="18"/>
          <w:szCs w:val="18"/>
        </w:rPr>
        <w:t>Catheters coated with minocycline and rifampin are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proven to decrease the rates of central line-associated bloodstream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infection; however, it is unclear whether success occurs independent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of other infection control precautions. We evaluated the effect of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catheters coated with minocycline and rifampin with and without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other infection control precautions on our rates of central line-associated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bloodstream infection in critically ill patients and on antibiotic resistance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throughout the hospital and in the intensive care unit.</w:t>
      </w:r>
    </w:p>
    <w:p w:rsidR="00B25E9F" w:rsidRPr="008A2BD9" w:rsidRDefault="00B25E9F" w:rsidP="00B25E9F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8A2BD9">
        <w:rPr>
          <w:rFonts w:cs="HelveticaNeue-BoldCondObl"/>
          <w:b/>
          <w:bCs/>
          <w:i/>
          <w:iCs/>
          <w:sz w:val="18"/>
          <w:szCs w:val="18"/>
        </w:rPr>
        <w:t>Design:</w:t>
      </w:r>
      <w:r w:rsidRPr="008A2BD9">
        <w:rPr>
          <w:rFonts w:cs="HelveticaNeue-BoldCondObl"/>
          <w:bCs/>
          <w:i/>
          <w:i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Retrospective clinical cohort study conducted during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1999–2006 with an observational laboratory component.</w:t>
      </w:r>
    </w:p>
    <w:p w:rsidR="00B25E9F" w:rsidRPr="008A2BD9" w:rsidRDefault="00B25E9F" w:rsidP="00B25E9F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8A2BD9">
        <w:rPr>
          <w:rFonts w:cs="HelveticaNeue-BoldCondObl"/>
          <w:b/>
          <w:bCs/>
          <w:i/>
          <w:iCs/>
          <w:sz w:val="18"/>
          <w:szCs w:val="18"/>
        </w:rPr>
        <w:t>Setting:</w:t>
      </w:r>
      <w:r w:rsidRPr="008A2BD9">
        <w:rPr>
          <w:rFonts w:cs="HelveticaNeue-BoldCondObl"/>
          <w:bCs/>
          <w:i/>
          <w:i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A tertiary university-based cancer center.</w:t>
      </w:r>
    </w:p>
    <w:p w:rsidR="00B25E9F" w:rsidRPr="008A2BD9" w:rsidRDefault="00B25E9F" w:rsidP="00B25E9F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8A2BD9">
        <w:rPr>
          <w:rFonts w:cs="HelveticaNeue-BoldCondObl"/>
          <w:b/>
          <w:bCs/>
          <w:i/>
          <w:iCs/>
          <w:sz w:val="18"/>
          <w:szCs w:val="18"/>
        </w:rPr>
        <w:t>Patients:</w:t>
      </w:r>
      <w:r w:rsidRPr="008A2BD9">
        <w:rPr>
          <w:rFonts w:cs="HelveticaNeue-BoldCondObl"/>
          <w:bCs/>
          <w:i/>
          <w:i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All 8009 patients admitted to the medical intensive care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unit were subjects for the surveillance of central line-associated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 xml:space="preserve">bloodstream infection. All </w:t>
      </w:r>
      <w:r w:rsidRPr="008A2BD9">
        <w:rPr>
          <w:rFonts w:cs="HelveticaNeue-BoldCondObl"/>
          <w:bCs/>
          <w:i/>
          <w:iCs/>
          <w:sz w:val="18"/>
          <w:szCs w:val="18"/>
        </w:rPr>
        <w:t xml:space="preserve">Staphylococcus aureus </w:t>
      </w:r>
      <w:r w:rsidRPr="008A2BD9">
        <w:rPr>
          <w:rFonts w:cs="HelveticaNeue-BoldCond"/>
          <w:bCs/>
          <w:sz w:val="18"/>
          <w:szCs w:val="18"/>
        </w:rPr>
        <w:t>and coagulase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negative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staphylococci clinical isolates cultured at our institution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during the same period were subjects for laboratory testing.</w:t>
      </w:r>
    </w:p>
    <w:p w:rsidR="00B25E9F" w:rsidRPr="008A2BD9" w:rsidRDefault="00B25E9F" w:rsidP="00B25E9F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8A2BD9">
        <w:rPr>
          <w:rFonts w:cs="HelveticaNeue-BoldCondObl"/>
          <w:b/>
          <w:bCs/>
          <w:i/>
          <w:iCs/>
          <w:sz w:val="18"/>
          <w:szCs w:val="18"/>
        </w:rPr>
        <w:t>Interventions:</w:t>
      </w:r>
      <w:r w:rsidRPr="008A2BD9">
        <w:rPr>
          <w:rFonts w:cs="HelveticaNeue-BoldCondObl"/>
          <w:bCs/>
          <w:i/>
          <w:i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Using catheters coated with minocycline and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rifampin and implementing infection control precautions.</w:t>
      </w:r>
    </w:p>
    <w:p w:rsidR="00B25E9F" w:rsidRPr="008A2BD9" w:rsidRDefault="00B25E9F" w:rsidP="00B25E9F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8A2BD9">
        <w:rPr>
          <w:rFonts w:cs="HelveticaNeue-BoldCondObl"/>
          <w:b/>
          <w:bCs/>
          <w:i/>
          <w:iCs/>
          <w:sz w:val="18"/>
          <w:szCs w:val="18"/>
        </w:rPr>
        <w:t>Measurements and Main Results</w:t>
      </w:r>
      <w:r w:rsidRPr="008A2BD9">
        <w:rPr>
          <w:rFonts w:cs="HelveticaNeue-BoldCondObl"/>
          <w:bCs/>
          <w:i/>
          <w:iCs/>
          <w:sz w:val="18"/>
          <w:szCs w:val="18"/>
        </w:rPr>
        <w:t xml:space="preserve">: </w:t>
      </w:r>
      <w:r w:rsidRPr="008A2BD9">
        <w:rPr>
          <w:rFonts w:cs="HelveticaNeue-BoldCond"/>
          <w:bCs/>
          <w:sz w:val="18"/>
          <w:szCs w:val="18"/>
        </w:rPr>
        <w:t>Incidence of central line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associated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bloodstream infection in the medical intensive care</w:t>
      </w:r>
    </w:p>
    <w:p w:rsidR="00B25E9F" w:rsidRPr="008A2BD9" w:rsidRDefault="00B25E9F" w:rsidP="00B25E9F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8A2BD9">
        <w:rPr>
          <w:rFonts w:cs="HelveticaNeue-BoldCond"/>
          <w:bCs/>
          <w:sz w:val="18"/>
          <w:szCs w:val="18"/>
        </w:rPr>
        <w:t>unit. Change in resistance to tetracycline and rifampin in clinically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relevant staphylococcal isolates in the intensive care unit and</w:t>
      </w:r>
    </w:p>
    <w:p w:rsidR="00B25E9F" w:rsidRPr="008A2BD9" w:rsidRDefault="00FF57BC" w:rsidP="00B25E9F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>
        <w:rPr>
          <w:rFonts w:cs="HelveticaNeue-BoldCond"/>
          <w:bCs/>
          <w:sz w:val="18"/>
          <w:szCs w:val="18"/>
        </w:rPr>
        <w:t>h</w:t>
      </w:r>
      <w:r w:rsidRPr="008A2BD9">
        <w:rPr>
          <w:rFonts w:cs="HelveticaNeue-BoldCond"/>
          <w:bCs/>
          <w:sz w:val="18"/>
          <w:szCs w:val="18"/>
        </w:rPr>
        <w:t>ospital wide</w:t>
      </w:r>
      <w:r w:rsidR="00B25E9F" w:rsidRPr="008A2BD9">
        <w:rPr>
          <w:rFonts w:cs="HelveticaNeue-BoldCond"/>
          <w:bCs/>
          <w:sz w:val="18"/>
          <w:szCs w:val="18"/>
        </w:rPr>
        <w:t>. During the study period, 9200 catheters coated with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="00B25E9F" w:rsidRPr="008A2BD9">
        <w:rPr>
          <w:rFonts w:cs="HelveticaNeue-BoldCond"/>
          <w:bCs/>
          <w:sz w:val="18"/>
          <w:szCs w:val="18"/>
        </w:rPr>
        <w:t>minocycline and rifampin were used hospitalwide over a total of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="00B25E9F" w:rsidRPr="008A2BD9">
        <w:rPr>
          <w:rFonts w:cs="HelveticaNeue-BoldCond"/>
          <w:bCs/>
          <w:sz w:val="18"/>
          <w:szCs w:val="18"/>
        </w:rPr>
        <w:t>511,520 catheter days. The incidence of central line-associated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="00B25E9F" w:rsidRPr="008A2BD9">
        <w:rPr>
          <w:rFonts w:cs="HelveticaNeue-BoldCond"/>
          <w:bCs/>
          <w:sz w:val="18"/>
          <w:szCs w:val="18"/>
        </w:rPr>
        <w:t>bloodstream infection per 1000 patient days in the medical intensive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="00B25E9F" w:rsidRPr="008A2BD9">
        <w:rPr>
          <w:rFonts w:cs="HelveticaNeue-BoldCond"/>
          <w:bCs/>
          <w:sz w:val="18"/>
          <w:szCs w:val="18"/>
        </w:rPr>
        <w:t>care unit significantly and gradually decreased from 8.3 in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="00B25E9F" w:rsidRPr="008A2BD9">
        <w:rPr>
          <w:rFonts w:cs="HelveticaNeue-BoldCond"/>
          <w:bCs/>
          <w:sz w:val="18"/>
          <w:szCs w:val="18"/>
        </w:rPr>
        <w:t>1998 to 1.2 in 2006 (</w:t>
      </w:r>
      <w:r w:rsidR="00B25E9F" w:rsidRPr="008A2BD9">
        <w:rPr>
          <w:rFonts w:cs="HelveticaNeue-BoldCondObl"/>
          <w:bCs/>
          <w:i/>
          <w:iCs/>
          <w:sz w:val="18"/>
          <w:szCs w:val="18"/>
        </w:rPr>
        <w:t xml:space="preserve">p </w:t>
      </w:r>
      <w:r w:rsidR="00B25E9F" w:rsidRPr="008A2BD9">
        <w:rPr>
          <w:rFonts w:cs="OurOwn-CJS"/>
          <w:sz w:val="18"/>
          <w:szCs w:val="18"/>
        </w:rPr>
        <w:t xml:space="preserve">&lt; </w:t>
      </w:r>
      <w:r w:rsidR="00B25E9F" w:rsidRPr="008A2BD9">
        <w:rPr>
          <w:rFonts w:cs="HelveticaNeue-BoldCond"/>
          <w:bCs/>
          <w:sz w:val="18"/>
          <w:szCs w:val="18"/>
        </w:rPr>
        <w:t xml:space="preserve">.001). The resistance of </w:t>
      </w:r>
      <w:r w:rsidR="00B25E9F" w:rsidRPr="008A2BD9">
        <w:rPr>
          <w:rFonts w:cs="HelveticaNeue-BoldCondObl"/>
          <w:bCs/>
          <w:i/>
          <w:iCs/>
          <w:sz w:val="18"/>
          <w:szCs w:val="18"/>
        </w:rPr>
        <w:t xml:space="preserve">S. aureus </w:t>
      </w:r>
      <w:r w:rsidR="00B25E9F" w:rsidRPr="008A2BD9">
        <w:rPr>
          <w:rFonts w:cs="HelveticaNeue-BoldCond"/>
          <w:bCs/>
          <w:sz w:val="18"/>
          <w:szCs w:val="18"/>
        </w:rPr>
        <w:t>and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="00B25E9F" w:rsidRPr="008A2BD9">
        <w:rPr>
          <w:rFonts w:cs="HelveticaNeue-BoldCond"/>
          <w:bCs/>
          <w:sz w:val="18"/>
          <w:szCs w:val="18"/>
        </w:rPr>
        <w:t>coagulase negative staphylococci clinical isolates to tetracycline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="00B25E9F" w:rsidRPr="008A2BD9">
        <w:rPr>
          <w:rFonts w:cs="HelveticaNeue-BoldCond"/>
          <w:bCs/>
          <w:sz w:val="18"/>
          <w:szCs w:val="18"/>
        </w:rPr>
        <w:t>or rifampin in the intensive care unit and on a hospitalwide level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="00B25E9F" w:rsidRPr="008A2BD9">
        <w:rPr>
          <w:rFonts w:cs="HelveticaNeue-BoldCond"/>
          <w:bCs/>
          <w:sz w:val="18"/>
          <w:szCs w:val="18"/>
        </w:rPr>
        <w:t>remained stable or decreased significantly during the same period.</w:t>
      </w:r>
    </w:p>
    <w:p w:rsidR="00B25E9F" w:rsidRPr="008A2BD9" w:rsidRDefault="00B25E9F" w:rsidP="00B25E9F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8A2BD9">
        <w:rPr>
          <w:rFonts w:cs="HelveticaNeue-BoldCondObl"/>
          <w:b/>
          <w:bCs/>
          <w:i/>
          <w:iCs/>
          <w:sz w:val="18"/>
          <w:szCs w:val="18"/>
        </w:rPr>
        <w:t>Conclusions</w:t>
      </w:r>
      <w:r w:rsidRPr="008A2BD9">
        <w:rPr>
          <w:rFonts w:cs="HelveticaNeue-BoldCondObl"/>
          <w:bCs/>
          <w:i/>
          <w:iCs/>
          <w:sz w:val="18"/>
          <w:szCs w:val="18"/>
        </w:rPr>
        <w:t xml:space="preserve">: </w:t>
      </w:r>
      <w:r w:rsidRPr="008A2BD9">
        <w:rPr>
          <w:rFonts w:cs="HelveticaNeue-BoldCond"/>
          <w:bCs/>
          <w:sz w:val="18"/>
          <w:szCs w:val="18"/>
        </w:rPr>
        <w:t>Catheters coated with minocycline and rifampin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significantly decreased the incidence of central line-associated</w:t>
      </w:r>
    </w:p>
    <w:p w:rsidR="00B25E9F" w:rsidRPr="008A2BD9" w:rsidRDefault="00B25E9F" w:rsidP="00B25E9F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8A2BD9">
        <w:rPr>
          <w:rFonts w:cs="HelveticaNeue-BoldCond"/>
          <w:bCs/>
          <w:sz w:val="18"/>
          <w:szCs w:val="18"/>
        </w:rPr>
        <w:t>bloodstream infection in the medical intensive care unit in a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manner that was independent and complementary to the infection</w:t>
      </w:r>
    </w:p>
    <w:p w:rsidR="00AF562A" w:rsidRPr="008A2BD9" w:rsidRDefault="00B25E9F" w:rsidP="00B25E9F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8A2BD9">
        <w:rPr>
          <w:rFonts w:cs="HelveticaNeue-BoldCond"/>
          <w:bCs/>
          <w:sz w:val="18"/>
          <w:szCs w:val="18"/>
        </w:rPr>
        <w:t>control precautions. Although this study strongly suggests an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association between catheters coated with minocycline and rifampin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use and a decrease in central line-associated bloodstream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infection, because of multiple other concurrent interventions, the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results should be interpreted cautiously until a prospective study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is conducted. Furthermore, long-term use of these devices is not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associated with increased resistance of staphylococcal isolates to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tetracycline and rifampin in the intensive care unit or throughout</w:t>
      </w:r>
      <w:r w:rsidR="008A2BD9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 xml:space="preserve">the hospital. </w:t>
      </w:r>
    </w:p>
    <w:p w:rsidR="00D41DAE" w:rsidRDefault="00D41DAE" w:rsidP="004508B2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9222FC" w:rsidRDefault="009222FC" w:rsidP="004508B2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• Central venous catheters (CVC) coated with minocycline and rifampin have become standard of care in many hospitals as a result of their efficacy in decreasing central line-associated bloodstream infections (CLABSI)</w:t>
      </w:r>
    </w:p>
    <w:p w:rsidR="009222FC" w:rsidRDefault="009222FC" w:rsidP="004508B2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9222FC" w:rsidRDefault="009222FC" w:rsidP="004508B2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• Coated catheters have been shown to prevent the adherence and biofilm colonization of organisms that cause CLABSI</w:t>
      </w:r>
    </w:p>
    <w:p w:rsidR="009222FC" w:rsidRDefault="009222FC" w:rsidP="004508B2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9222FC" w:rsidRPr="008A2BD9" w:rsidRDefault="009222FC" w:rsidP="009222F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>
        <w:rPr>
          <w:sz w:val="20"/>
          <w:szCs w:val="20"/>
        </w:rPr>
        <w:t>•</w:t>
      </w:r>
      <w:r w:rsidRPr="009222FC"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Catheters coated with minocycline and rifampin</w:t>
      </w:r>
      <w:r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significantly decreased the incidence of central line-associated</w:t>
      </w:r>
    </w:p>
    <w:p w:rsidR="009222FC" w:rsidRPr="008A2BD9" w:rsidRDefault="009222FC" w:rsidP="009222FC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 w:rsidRPr="008A2BD9">
        <w:rPr>
          <w:rFonts w:cs="HelveticaNeue-BoldCond"/>
          <w:bCs/>
          <w:sz w:val="18"/>
          <w:szCs w:val="18"/>
        </w:rPr>
        <w:t>bloodstream infection in the medical intensive care unit in a</w:t>
      </w:r>
      <w:r>
        <w:rPr>
          <w:rFonts w:cs="HelveticaNeue-BoldCond"/>
          <w:bCs/>
          <w:sz w:val="18"/>
          <w:szCs w:val="18"/>
        </w:rPr>
        <w:t xml:space="preserve"> </w:t>
      </w:r>
      <w:r w:rsidRPr="008A2BD9">
        <w:rPr>
          <w:rFonts w:cs="HelveticaNeue-BoldCond"/>
          <w:bCs/>
          <w:sz w:val="18"/>
          <w:szCs w:val="18"/>
        </w:rPr>
        <w:t>manner that was independent and complementary to the infection</w:t>
      </w:r>
    </w:p>
    <w:p w:rsidR="009222FC" w:rsidRDefault="009222FC" w:rsidP="009222F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8A2BD9">
        <w:rPr>
          <w:rFonts w:cs="HelveticaNeue-BoldCond"/>
          <w:bCs/>
          <w:sz w:val="18"/>
          <w:szCs w:val="18"/>
        </w:rPr>
        <w:t xml:space="preserve">control precautions. </w:t>
      </w:r>
      <w:r>
        <w:rPr>
          <w:sz w:val="20"/>
          <w:szCs w:val="20"/>
        </w:rPr>
        <w:t xml:space="preserve"> </w:t>
      </w:r>
    </w:p>
    <w:p w:rsidR="009222FC" w:rsidRDefault="009222FC" w:rsidP="004508B2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C93D5A" w:rsidRPr="008A2BD9" w:rsidRDefault="009222FC" w:rsidP="00C93D5A">
      <w:pPr>
        <w:autoSpaceDE w:val="0"/>
        <w:autoSpaceDN w:val="0"/>
        <w:adjustRightInd w:val="0"/>
        <w:spacing w:after="0" w:line="240" w:lineRule="auto"/>
        <w:rPr>
          <w:rFonts w:cs="HelveticaNeue-BoldCond"/>
          <w:bCs/>
          <w:sz w:val="18"/>
          <w:szCs w:val="18"/>
        </w:rPr>
      </w:pPr>
      <w:r>
        <w:rPr>
          <w:sz w:val="20"/>
          <w:szCs w:val="20"/>
        </w:rPr>
        <w:t xml:space="preserve">• </w:t>
      </w:r>
      <w:r w:rsidR="00C93D5A">
        <w:rPr>
          <w:rFonts w:cs="HelveticaNeue-BoldCond"/>
          <w:bCs/>
          <w:sz w:val="18"/>
          <w:szCs w:val="18"/>
        </w:rPr>
        <w:t>L</w:t>
      </w:r>
      <w:r w:rsidR="00C93D5A" w:rsidRPr="008A2BD9">
        <w:rPr>
          <w:rFonts w:cs="HelveticaNeue-BoldCond"/>
          <w:bCs/>
          <w:sz w:val="18"/>
          <w:szCs w:val="18"/>
        </w:rPr>
        <w:t xml:space="preserve">ong-term use of </w:t>
      </w:r>
      <w:r w:rsidR="00C93D5A">
        <w:rPr>
          <w:rFonts w:cs="HelveticaNeue-BoldCond"/>
          <w:bCs/>
          <w:sz w:val="18"/>
          <w:szCs w:val="18"/>
        </w:rPr>
        <w:t>coated CVC</w:t>
      </w:r>
      <w:r w:rsidR="00C93D5A" w:rsidRPr="008A2BD9">
        <w:rPr>
          <w:rFonts w:cs="HelveticaNeue-BoldCond"/>
          <w:bCs/>
          <w:sz w:val="18"/>
          <w:szCs w:val="18"/>
        </w:rPr>
        <w:t xml:space="preserve"> is not</w:t>
      </w:r>
      <w:r w:rsidR="00C93D5A">
        <w:rPr>
          <w:rFonts w:cs="HelveticaNeue-BoldCond"/>
          <w:bCs/>
          <w:sz w:val="18"/>
          <w:szCs w:val="18"/>
        </w:rPr>
        <w:t xml:space="preserve"> </w:t>
      </w:r>
      <w:r w:rsidR="00C93D5A" w:rsidRPr="008A2BD9">
        <w:rPr>
          <w:rFonts w:cs="HelveticaNeue-BoldCond"/>
          <w:bCs/>
          <w:sz w:val="18"/>
          <w:szCs w:val="18"/>
        </w:rPr>
        <w:t>associated with increased resistance of staphylococcal isolates to</w:t>
      </w:r>
      <w:r w:rsidR="00C93D5A">
        <w:rPr>
          <w:rFonts w:cs="HelveticaNeue-BoldCond"/>
          <w:bCs/>
          <w:sz w:val="18"/>
          <w:szCs w:val="18"/>
        </w:rPr>
        <w:t xml:space="preserve"> </w:t>
      </w:r>
      <w:r w:rsidR="00C93D5A" w:rsidRPr="008A2BD9">
        <w:rPr>
          <w:rFonts w:cs="HelveticaNeue-BoldCond"/>
          <w:bCs/>
          <w:sz w:val="18"/>
          <w:szCs w:val="18"/>
        </w:rPr>
        <w:t>tetracycline and rifampin in the intensive care unit or throughout</w:t>
      </w:r>
      <w:r w:rsidR="00C93D5A">
        <w:rPr>
          <w:rFonts w:cs="HelveticaNeue-BoldCond"/>
          <w:bCs/>
          <w:sz w:val="18"/>
          <w:szCs w:val="18"/>
        </w:rPr>
        <w:t xml:space="preserve"> </w:t>
      </w:r>
      <w:r w:rsidR="00C93D5A" w:rsidRPr="008A2BD9">
        <w:rPr>
          <w:rFonts w:cs="HelveticaNeue-BoldCond"/>
          <w:bCs/>
          <w:sz w:val="18"/>
          <w:szCs w:val="18"/>
        </w:rPr>
        <w:t xml:space="preserve">the hospital. </w:t>
      </w:r>
    </w:p>
    <w:p w:rsidR="009222FC" w:rsidRDefault="009222FC" w:rsidP="004508B2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F519B1" w:rsidRDefault="00DD000C" w:rsidP="00DD000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DD000C">
        <w:rPr>
          <w:sz w:val="20"/>
          <w:szCs w:val="20"/>
        </w:rPr>
        <w:t>1.</w:t>
      </w:r>
      <w:r>
        <w:rPr>
          <w:sz w:val="20"/>
          <w:szCs w:val="20"/>
        </w:rPr>
        <w:t xml:space="preserve"> Which of the following is true with regard to Minocycline hydrochloride, a tetracycline antibiotic?</w:t>
      </w:r>
    </w:p>
    <w:p w:rsidR="00DD000C" w:rsidRDefault="00DD000C" w:rsidP="00DD000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>a. Bacteriocidal</w:t>
      </w:r>
    </w:p>
    <w:p w:rsidR="00DD000C" w:rsidRDefault="00DD000C" w:rsidP="00DD000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Pr="003F3281">
        <w:rPr>
          <w:sz w:val="20"/>
          <w:szCs w:val="20"/>
          <w:highlight w:val="yellow"/>
        </w:rPr>
        <w:t>b. Inhibits apoptosis via attenuation of TNF-α</w:t>
      </w:r>
      <w:r>
        <w:rPr>
          <w:sz w:val="20"/>
          <w:szCs w:val="20"/>
        </w:rPr>
        <w:t xml:space="preserve"> </w:t>
      </w:r>
    </w:p>
    <w:p w:rsidR="00DD000C" w:rsidRDefault="003F3281" w:rsidP="00DD000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>c. Not effective against</w:t>
      </w:r>
      <w:r w:rsidR="00DD000C">
        <w:rPr>
          <w:sz w:val="20"/>
          <w:szCs w:val="20"/>
        </w:rPr>
        <w:t xml:space="preserve"> gram positive</w:t>
      </w:r>
      <w:r>
        <w:rPr>
          <w:sz w:val="20"/>
          <w:szCs w:val="20"/>
        </w:rPr>
        <w:t xml:space="preserve"> organisms</w:t>
      </w:r>
    </w:p>
    <w:p w:rsidR="003F3281" w:rsidRPr="00DD000C" w:rsidRDefault="003F3281" w:rsidP="00DD000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>d. Causes acne in teenagers</w:t>
      </w:r>
    </w:p>
    <w:p w:rsidR="00F519B1" w:rsidRDefault="00F519B1" w:rsidP="004508B2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3F3281" w:rsidRPr="004508B2" w:rsidRDefault="003F3281" w:rsidP="004508B2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2. True or false.  Use of minocycline and rifampin coated CVC is associated with increased resistance of staphylococcal isolates to these antibiotics.  False.  </w:t>
      </w:r>
    </w:p>
    <w:sectPr w:rsidR="003F3281" w:rsidRPr="004508B2" w:rsidSect="00731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Neue-Bold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learface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CondOb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utch801B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thematicalPi-Fou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urOwn-CJ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979E6"/>
    <w:multiLevelType w:val="hybridMultilevel"/>
    <w:tmpl w:val="50FC2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76FC5"/>
    <w:multiLevelType w:val="hybridMultilevel"/>
    <w:tmpl w:val="EF808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508B2"/>
    <w:rsid w:val="000A3D0B"/>
    <w:rsid w:val="003F3281"/>
    <w:rsid w:val="004508B2"/>
    <w:rsid w:val="006020BE"/>
    <w:rsid w:val="007311CC"/>
    <w:rsid w:val="00892FE7"/>
    <w:rsid w:val="008A2BD9"/>
    <w:rsid w:val="009222FC"/>
    <w:rsid w:val="00AF562A"/>
    <w:rsid w:val="00B25E9F"/>
    <w:rsid w:val="00C93D5A"/>
    <w:rsid w:val="00D41DAE"/>
    <w:rsid w:val="00DD000C"/>
    <w:rsid w:val="00E971E7"/>
    <w:rsid w:val="00F519B1"/>
    <w:rsid w:val="00FF5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1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0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hospubOrig</dc:creator>
  <cp:keywords/>
  <dc:description/>
  <cp:lastModifiedBy>hospubOrig</cp:lastModifiedBy>
  <cp:revision>10</cp:revision>
  <dcterms:created xsi:type="dcterms:W3CDTF">2011-03-03T18:10:00Z</dcterms:created>
  <dcterms:modified xsi:type="dcterms:W3CDTF">2011-03-03T19:06:00Z</dcterms:modified>
</cp:coreProperties>
</file>