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46" w:rsidRPr="00474B46" w:rsidRDefault="00474B46" w:rsidP="00474B46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proofErr w:type="spellStart"/>
      <w:r w:rsidRPr="0047725C">
        <w:rPr>
          <w:rFonts w:cs="HelveticaNeue-BoldCond"/>
          <w:bCs/>
          <w:sz w:val="20"/>
          <w:szCs w:val="20"/>
        </w:rPr>
        <w:t>Crit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Care Med 2011; 39:1335–1342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jc w:val="center"/>
        <w:rPr>
          <w:rFonts w:cs="Clearface-Bold"/>
          <w:b/>
          <w:bCs/>
          <w:sz w:val="24"/>
          <w:szCs w:val="24"/>
        </w:rPr>
      </w:pPr>
      <w:r w:rsidRPr="0047725C">
        <w:rPr>
          <w:rFonts w:cs="Clearface-Bold"/>
          <w:b/>
          <w:bCs/>
          <w:sz w:val="24"/>
          <w:szCs w:val="24"/>
        </w:rPr>
        <w:t>Renal effects of synthetic colloids and crystalloids in patients with severe sepsis: A prospective sequential comparison*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jc w:val="center"/>
        <w:rPr>
          <w:rFonts w:cs="HelveticaNeue-Condensed"/>
          <w:sz w:val="24"/>
          <w:szCs w:val="24"/>
        </w:rPr>
      </w:pPr>
      <w:r w:rsidRPr="0047725C">
        <w:rPr>
          <w:rFonts w:cs="HelveticaNeue-Condensed"/>
          <w:sz w:val="24"/>
          <w:szCs w:val="24"/>
        </w:rPr>
        <w:t xml:space="preserve">Ole Bayer, MD; </w:t>
      </w:r>
      <w:proofErr w:type="spellStart"/>
      <w:r w:rsidRPr="0047725C">
        <w:rPr>
          <w:rFonts w:cs="HelveticaNeue-Condensed"/>
          <w:sz w:val="24"/>
          <w:szCs w:val="24"/>
        </w:rPr>
        <w:t>Konrad</w:t>
      </w:r>
      <w:proofErr w:type="spellEnd"/>
      <w:r w:rsidRPr="0047725C">
        <w:rPr>
          <w:rFonts w:cs="HelveticaNeue-Condensed"/>
          <w:sz w:val="24"/>
          <w:szCs w:val="24"/>
        </w:rPr>
        <w:t xml:space="preserve"> Reinhart, MD; Yasser </w:t>
      </w:r>
      <w:proofErr w:type="spellStart"/>
      <w:r w:rsidRPr="0047725C">
        <w:rPr>
          <w:rFonts w:cs="HelveticaNeue-Condensed"/>
          <w:sz w:val="24"/>
          <w:szCs w:val="24"/>
        </w:rPr>
        <w:t>Sakr</w:t>
      </w:r>
      <w:proofErr w:type="spellEnd"/>
      <w:r w:rsidRPr="0047725C">
        <w:rPr>
          <w:rFonts w:cs="HelveticaNeue-Condensed"/>
          <w:sz w:val="24"/>
          <w:szCs w:val="24"/>
        </w:rPr>
        <w:t xml:space="preserve">, MD, PhD; </w:t>
      </w:r>
      <w:proofErr w:type="spellStart"/>
      <w:r w:rsidRPr="0047725C">
        <w:rPr>
          <w:rFonts w:cs="HelveticaNeue-Condensed"/>
          <w:sz w:val="24"/>
          <w:szCs w:val="24"/>
        </w:rPr>
        <w:t>Bjoern</w:t>
      </w:r>
      <w:proofErr w:type="spellEnd"/>
      <w:r w:rsidRPr="0047725C">
        <w:rPr>
          <w:rFonts w:cs="HelveticaNeue-Condensed"/>
          <w:sz w:val="24"/>
          <w:szCs w:val="24"/>
        </w:rPr>
        <w:t xml:space="preserve"> </w:t>
      </w:r>
      <w:proofErr w:type="spellStart"/>
      <w:r w:rsidRPr="0047725C">
        <w:rPr>
          <w:rFonts w:cs="HelveticaNeue-Condensed"/>
          <w:sz w:val="24"/>
          <w:szCs w:val="24"/>
        </w:rPr>
        <w:t>Kabisch</w:t>
      </w:r>
      <w:proofErr w:type="spellEnd"/>
      <w:r w:rsidRPr="0047725C">
        <w:rPr>
          <w:rFonts w:cs="HelveticaNeue-Condensed"/>
          <w:sz w:val="24"/>
          <w:szCs w:val="24"/>
        </w:rPr>
        <w:t>, PhD; Matthias Kohl, PhD;</w:t>
      </w:r>
      <w:r>
        <w:rPr>
          <w:rFonts w:cs="HelveticaNeue-Condensed"/>
          <w:sz w:val="24"/>
          <w:szCs w:val="24"/>
        </w:rPr>
        <w:t xml:space="preserve"> </w:t>
      </w:r>
      <w:proofErr w:type="spellStart"/>
      <w:r w:rsidRPr="0047725C">
        <w:rPr>
          <w:rFonts w:cs="HelveticaNeue-Condensed"/>
          <w:sz w:val="24"/>
          <w:szCs w:val="24"/>
        </w:rPr>
        <w:t>Niels</w:t>
      </w:r>
      <w:proofErr w:type="spellEnd"/>
      <w:r w:rsidRPr="0047725C">
        <w:rPr>
          <w:rFonts w:cs="HelveticaNeue-Condensed"/>
          <w:sz w:val="24"/>
          <w:szCs w:val="24"/>
        </w:rPr>
        <w:t xml:space="preserve"> C. </w:t>
      </w:r>
      <w:proofErr w:type="spellStart"/>
      <w:r w:rsidRPr="0047725C">
        <w:rPr>
          <w:rFonts w:cs="HelveticaNeue-Condensed"/>
          <w:sz w:val="24"/>
          <w:szCs w:val="24"/>
        </w:rPr>
        <w:t>Riedemann</w:t>
      </w:r>
      <w:proofErr w:type="spellEnd"/>
      <w:r w:rsidRPr="0047725C">
        <w:rPr>
          <w:rFonts w:cs="HelveticaNeue-Condensed"/>
          <w:sz w:val="24"/>
          <w:szCs w:val="24"/>
        </w:rPr>
        <w:t xml:space="preserve">, MD; Michael Bauer, MD; </w:t>
      </w:r>
      <w:proofErr w:type="spellStart"/>
      <w:r w:rsidRPr="0047725C">
        <w:rPr>
          <w:rFonts w:cs="HelveticaNeue-Condensed"/>
          <w:sz w:val="24"/>
          <w:szCs w:val="24"/>
        </w:rPr>
        <w:t>Utz</w:t>
      </w:r>
      <w:proofErr w:type="spellEnd"/>
      <w:r w:rsidRPr="0047725C">
        <w:rPr>
          <w:rFonts w:cs="HelveticaNeue-Condensed"/>
          <w:sz w:val="24"/>
          <w:szCs w:val="24"/>
        </w:rPr>
        <w:t xml:space="preserve"> </w:t>
      </w:r>
      <w:proofErr w:type="spellStart"/>
      <w:r w:rsidRPr="0047725C">
        <w:rPr>
          <w:rFonts w:cs="HelveticaNeue-Condensed"/>
          <w:sz w:val="24"/>
          <w:szCs w:val="24"/>
        </w:rPr>
        <w:t>Settmacher</w:t>
      </w:r>
      <w:proofErr w:type="spellEnd"/>
      <w:r w:rsidRPr="0047725C">
        <w:rPr>
          <w:rFonts w:cs="HelveticaNeue-Condensed"/>
          <w:sz w:val="24"/>
          <w:szCs w:val="24"/>
        </w:rPr>
        <w:t xml:space="preserve">, MD; </w:t>
      </w:r>
      <w:proofErr w:type="spellStart"/>
      <w:r w:rsidRPr="0047725C">
        <w:rPr>
          <w:rFonts w:cs="HelveticaNeue-Condensed"/>
          <w:sz w:val="24"/>
          <w:szCs w:val="24"/>
        </w:rPr>
        <w:t>Khosro</w:t>
      </w:r>
      <w:proofErr w:type="spellEnd"/>
      <w:r w:rsidRPr="0047725C">
        <w:rPr>
          <w:rFonts w:cs="HelveticaNeue-Condensed"/>
          <w:sz w:val="24"/>
          <w:szCs w:val="24"/>
        </w:rPr>
        <w:t xml:space="preserve"> </w:t>
      </w:r>
      <w:proofErr w:type="spellStart"/>
      <w:r w:rsidRPr="0047725C">
        <w:rPr>
          <w:rFonts w:cs="HelveticaNeue-Condensed"/>
          <w:sz w:val="24"/>
          <w:szCs w:val="24"/>
        </w:rPr>
        <w:t>Hekmat</w:t>
      </w:r>
      <w:proofErr w:type="spellEnd"/>
      <w:r w:rsidRPr="0047725C">
        <w:rPr>
          <w:rFonts w:cs="HelveticaNeue-Condensed"/>
          <w:sz w:val="24"/>
          <w:szCs w:val="24"/>
        </w:rPr>
        <w:t xml:space="preserve">, MD; </w:t>
      </w:r>
      <w:proofErr w:type="spellStart"/>
      <w:r w:rsidRPr="0047725C">
        <w:rPr>
          <w:rFonts w:cs="HelveticaNeue-Condensed"/>
          <w:sz w:val="24"/>
          <w:szCs w:val="24"/>
        </w:rPr>
        <w:t>Christiane</w:t>
      </w:r>
      <w:proofErr w:type="spellEnd"/>
      <w:r w:rsidRPr="0047725C">
        <w:rPr>
          <w:rFonts w:cs="HelveticaNeue-Condensed"/>
          <w:sz w:val="24"/>
          <w:szCs w:val="24"/>
        </w:rPr>
        <w:t xml:space="preserve"> S. </w:t>
      </w:r>
      <w:proofErr w:type="spellStart"/>
      <w:r w:rsidRPr="0047725C">
        <w:rPr>
          <w:rFonts w:cs="HelveticaNeue-Condensed"/>
          <w:sz w:val="24"/>
          <w:szCs w:val="24"/>
        </w:rPr>
        <w:t>Hartog</w:t>
      </w:r>
      <w:proofErr w:type="spellEnd"/>
      <w:r w:rsidRPr="0047725C">
        <w:rPr>
          <w:rFonts w:cs="HelveticaNeue-Condensed"/>
          <w:sz w:val="24"/>
          <w:szCs w:val="24"/>
        </w:rPr>
        <w:t>, MD</w:t>
      </w:r>
    </w:p>
    <w:p w:rsid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Obl"/>
          <w:bCs/>
          <w:i/>
          <w:iCs/>
          <w:sz w:val="20"/>
          <w:szCs w:val="20"/>
        </w:rPr>
      </w:pP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Obl"/>
          <w:bCs/>
          <w:i/>
          <w:iCs/>
          <w:sz w:val="20"/>
          <w:szCs w:val="20"/>
        </w:rPr>
        <w:t xml:space="preserve">Objectives: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 200 is associated with renal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impairment in sepsis, but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 130/0.4 and gelatin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are considered to be less harmful. We hypothesized that fluid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therapy with only crystalloids would decrease the incidence of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acute kidney injury.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Obl"/>
          <w:bCs/>
          <w:i/>
          <w:iCs/>
          <w:sz w:val="20"/>
          <w:szCs w:val="20"/>
        </w:rPr>
        <w:t xml:space="preserve">Design: </w:t>
      </w:r>
      <w:r w:rsidRPr="0047725C">
        <w:rPr>
          <w:rFonts w:cs="HelveticaNeue-BoldCond"/>
          <w:bCs/>
          <w:sz w:val="20"/>
          <w:szCs w:val="20"/>
        </w:rPr>
        <w:t>Prospective sequential comparison during intensive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care unit stay.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Obl"/>
          <w:bCs/>
          <w:i/>
          <w:iCs/>
          <w:sz w:val="20"/>
          <w:szCs w:val="20"/>
        </w:rPr>
        <w:t xml:space="preserve">Setting: </w:t>
      </w:r>
      <w:r w:rsidRPr="0047725C">
        <w:rPr>
          <w:rFonts w:cs="HelveticaNeue-BoldCond"/>
          <w:bCs/>
          <w:sz w:val="20"/>
          <w:szCs w:val="20"/>
        </w:rPr>
        <w:t>Surgical intensive care unit.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Obl"/>
          <w:bCs/>
          <w:i/>
          <w:iCs/>
          <w:sz w:val="20"/>
          <w:szCs w:val="20"/>
        </w:rPr>
        <w:t xml:space="preserve">Patients: </w:t>
      </w:r>
      <w:r w:rsidRPr="0047725C">
        <w:rPr>
          <w:rFonts w:cs="HelveticaNeue-BoldCond"/>
          <w:bCs/>
          <w:sz w:val="20"/>
          <w:szCs w:val="20"/>
        </w:rPr>
        <w:t>Patients with severe sepsis.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Obl"/>
          <w:bCs/>
          <w:i/>
          <w:iCs/>
          <w:sz w:val="20"/>
          <w:szCs w:val="20"/>
        </w:rPr>
        <w:t xml:space="preserve">Interventions: </w:t>
      </w:r>
      <w:r w:rsidRPr="0047725C">
        <w:rPr>
          <w:rFonts w:cs="HelveticaNeue-BoldCond"/>
          <w:bCs/>
          <w:sz w:val="20"/>
          <w:szCs w:val="20"/>
        </w:rPr>
        <w:t>Changes in standard fluid therapy, with predominantly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6%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 from January 2005 to June 2005,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4% gelatin from January 2006 to June 2006, and only crystalloids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from September 2008 to June 2009.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Obl"/>
          <w:bCs/>
          <w:i/>
          <w:iCs/>
          <w:sz w:val="20"/>
          <w:szCs w:val="20"/>
        </w:rPr>
        <w:t xml:space="preserve">Measurements and Main Results: </w:t>
      </w:r>
      <w:r w:rsidRPr="0047725C">
        <w:rPr>
          <w:rFonts w:cs="HelveticaNeue-BoldCond"/>
          <w:bCs/>
          <w:sz w:val="20"/>
          <w:szCs w:val="20"/>
        </w:rPr>
        <w:t>Acute kidney injury was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defined by the presence of at least one RIFLE class; 118 patients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received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starch, 87 patients received gelatin, 141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patients received only crystalloids. Baseline serum </w:t>
      </w:r>
      <w:proofErr w:type="spellStart"/>
      <w:r w:rsidRPr="0047725C">
        <w:rPr>
          <w:rFonts w:cs="HelveticaNeue-BoldCond"/>
          <w:bCs/>
          <w:sz w:val="20"/>
          <w:szCs w:val="20"/>
        </w:rPr>
        <w:t>creatinine</w:t>
      </w:r>
      <w:proofErr w:type="spellEnd"/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values were similar. Patients received median cumulative doses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of 46 (</w:t>
      </w:r>
      <w:proofErr w:type="spellStart"/>
      <w:r w:rsidRPr="0047725C">
        <w:rPr>
          <w:rFonts w:cs="HelveticaNeue-BoldCond"/>
          <w:bCs/>
          <w:sz w:val="20"/>
          <w:szCs w:val="20"/>
        </w:rPr>
        <w:t>interquartile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range, 18–92) </w:t>
      </w:r>
      <w:proofErr w:type="spellStart"/>
      <w:r w:rsidRPr="0047725C">
        <w:rPr>
          <w:rFonts w:cs="HelveticaNeue-BoldCond"/>
          <w:bCs/>
          <w:sz w:val="20"/>
          <w:szCs w:val="20"/>
        </w:rPr>
        <w:t>mL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/kg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 and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43 (</w:t>
      </w:r>
      <w:proofErr w:type="spellStart"/>
      <w:r w:rsidRPr="0047725C">
        <w:rPr>
          <w:rFonts w:cs="HelveticaNeue-BoldCond"/>
          <w:bCs/>
          <w:sz w:val="20"/>
          <w:szCs w:val="20"/>
        </w:rPr>
        <w:t>interquartile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range, 18–76) </w:t>
      </w:r>
      <w:proofErr w:type="spellStart"/>
      <w:r w:rsidRPr="0047725C">
        <w:rPr>
          <w:rFonts w:cs="HelveticaNeue-BoldCond"/>
          <w:bCs/>
          <w:sz w:val="20"/>
          <w:szCs w:val="20"/>
        </w:rPr>
        <w:t>mL</w:t>
      </w:r>
      <w:proofErr w:type="spellEnd"/>
      <w:r w:rsidRPr="0047725C">
        <w:rPr>
          <w:rFonts w:cs="HelveticaNeue-BoldCond"/>
          <w:bCs/>
          <w:sz w:val="20"/>
          <w:szCs w:val="20"/>
        </w:rPr>
        <w:t>/kg gelatin. Total median fluid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"/>
          <w:bCs/>
          <w:sz w:val="20"/>
          <w:szCs w:val="20"/>
        </w:rPr>
        <w:t>amounts were 649 (</w:t>
      </w:r>
      <w:proofErr w:type="spellStart"/>
      <w:r w:rsidRPr="0047725C">
        <w:rPr>
          <w:rFonts w:cs="HelveticaNeue-BoldCond"/>
          <w:bCs/>
          <w:sz w:val="20"/>
          <w:szCs w:val="20"/>
        </w:rPr>
        <w:t>interquartile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range, 275–1098) </w:t>
      </w:r>
      <w:proofErr w:type="spellStart"/>
      <w:r w:rsidRPr="0047725C">
        <w:rPr>
          <w:rFonts w:cs="HelveticaNeue-BoldCond"/>
          <w:bCs/>
          <w:sz w:val="20"/>
          <w:szCs w:val="20"/>
        </w:rPr>
        <w:t>mL</w:t>
      </w:r>
      <w:proofErr w:type="spellEnd"/>
      <w:r w:rsidRPr="0047725C">
        <w:rPr>
          <w:rFonts w:cs="HelveticaNeue-BoldCond"/>
          <w:bCs/>
          <w:sz w:val="20"/>
          <w:szCs w:val="20"/>
        </w:rPr>
        <w:t>/kg in the</w:t>
      </w:r>
      <w:r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 group, 525 (237– 868) </w:t>
      </w:r>
      <w:proofErr w:type="spellStart"/>
      <w:r w:rsidRPr="0047725C">
        <w:rPr>
          <w:rFonts w:cs="HelveticaNeue-BoldCond"/>
          <w:bCs/>
          <w:sz w:val="20"/>
          <w:szCs w:val="20"/>
        </w:rPr>
        <w:t>mL</w:t>
      </w:r>
      <w:proofErr w:type="spellEnd"/>
      <w:r w:rsidRPr="0047725C">
        <w:rPr>
          <w:rFonts w:cs="HelveticaNeue-BoldCond"/>
          <w:bCs/>
          <w:sz w:val="20"/>
          <w:szCs w:val="20"/>
        </w:rPr>
        <w:t>/kg in the gelatin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group, and 355 (173–911) </w:t>
      </w:r>
      <w:proofErr w:type="spellStart"/>
      <w:r w:rsidRPr="0047725C">
        <w:rPr>
          <w:rFonts w:cs="HelveticaNeue-BoldCond"/>
          <w:bCs/>
          <w:sz w:val="20"/>
          <w:szCs w:val="20"/>
        </w:rPr>
        <w:t>mL</w:t>
      </w:r>
      <w:proofErr w:type="spellEnd"/>
      <w:r w:rsidRPr="0047725C">
        <w:rPr>
          <w:rFonts w:cs="HelveticaNeue-BoldCond"/>
          <w:bCs/>
          <w:sz w:val="20"/>
          <w:szCs w:val="20"/>
        </w:rPr>
        <w:t>/kg in the crystalloid group. The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difference was statistically significant for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after adjustment for multiple testing. Mean daily fluid intake and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fluid balance were higher on days 0 and 1 in the crystalloid group.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Acute kidney injury occurred in 70% of patients receiving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"/>
          <w:bCs/>
          <w:sz w:val="20"/>
          <w:szCs w:val="20"/>
        </w:rPr>
        <w:t xml:space="preserve">starch (adjusted </w:t>
      </w:r>
      <w:r w:rsidRPr="0047725C">
        <w:rPr>
          <w:rFonts w:cs="HelveticaNeue-BoldCondObl"/>
          <w:bCs/>
          <w:i/>
          <w:iCs/>
          <w:sz w:val="20"/>
          <w:szCs w:val="20"/>
        </w:rPr>
        <w:t xml:space="preserve">p </w:t>
      </w:r>
      <w:r w:rsidRPr="0047725C">
        <w:rPr>
          <w:rFonts w:cs="MathematicalPi-Four"/>
          <w:sz w:val="20"/>
          <w:szCs w:val="20"/>
        </w:rPr>
        <w:t xml:space="preserve">_ </w:t>
      </w:r>
      <w:r w:rsidRPr="0047725C">
        <w:rPr>
          <w:rFonts w:cs="HelveticaNeue-BoldCond"/>
          <w:bCs/>
          <w:sz w:val="20"/>
          <w:szCs w:val="20"/>
        </w:rPr>
        <w:t>.002) and in 68% of patients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receiving gelatin (adjusted </w:t>
      </w:r>
      <w:r w:rsidRPr="0047725C">
        <w:rPr>
          <w:rFonts w:cs="HelveticaNeue-BoldCondObl"/>
          <w:bCs/>
          <w:i/>
          <w:iCs/>
          <w:sz w:val="20"/>
          <w:szCs w:val="20"/>
        </w:rPr>
        <w:t xml:space="preserve">p </w:t>
      </w:r>
      <w:r w:rsidRPr="0047725C">
        <w:rPr>
          <w:rFonts w:cs="MathematicalPi-Four"/>
          <w:sz w:val="20"/>
          <w:szCs w:val="20"/>
        </w:rPr>
        <w:t xml:space="preserve">_ </w:t>
      </w:r>
      <w:r w:rsidRPr="0047725C">
        <w:rPr>
          <w:rFonts w:cs="HelveticaNeue-BoldCond"/>
          <w:bCs/>
          <w:sz w:val="20"/>
          <w:szCs w:val="20"/>
        </w:rPr>
        <w:t>.025) vs. 47% patients receiving</w:t>
      </w:r>
    </w:p>
    <w:p w:rsidR="0047725C" w:rsidRP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"/>
          <w:bCs/>
          <w:sz w:val="20"/>
          <w:szCs w:val="20"/>
        </w:rPr>
        <w:t>crystalloids. Need for renal replacement therapy tended to be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higher in the 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 group (34%; adjusted </w:t>
      </w:r>
      <w:r w:rsidRPr="0047725C">
        <w:rPr>
          <w:rFonts w:cs="HelveticaNeue-BoldCondObl"/>
          <w:bCs/>
          <w:i/>
          <w:iCs/>
          <w:sz w:val="20"/>
          <w:szCs w:val="20"/>
        </w:rPr>
        <w:t xml:space="preserve">p </w:t>
      </w:r>
      <w:r w:rsidRPr="0047725C">
        <w:rPr>
          <w:rFonts w:cs="MathematicalPi-Four"/>
          <w:sz w:val="20"/>
          <w:szCs w:val="20"/>
        </w:rPr>
        <w:t xml:space="preserve">_ </w:t>
      </w:r>
      <w:r w:rsidRPr="0047725C">
        <w:rPr>
          <w:rFonts w:cs="HelveticaNeue-BoldCond"/>
          <w:bCs/>
          <w:sz w:val="20"/>
          <w:szCs w:val="20"/>
        </w:rPr>
        <w:t>.086)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and in the gelatin group (34%; adjusted </w:t>
      </w:r>
      <w:r w:rsidRPr="0047725C">
        <w:rPr>
          <w:rFonts w:cs="HelveticaNeue-BoldCondObl"/>
          <w:bCs/>
          <w:i/>
          <w:iCs/>
          <w:sz w:val="20"/>
          <w:szCs w:val="20"/>
        </w:rPr>
        <w:t xml:space="preserve">p </w:t>
      </w:r>
      <w:r w:rsidRPr="0047725C">
        <w:rPr>
          <w:rFonts w:cs="MathematicalPi-Four"/>
          <w:sz w:val="20"/>
          <w:szCs w:val="20"/>
        </w:rPr>
        <w:t xml:space="preserve">_ </w:t>
      </w:r>
      <w:r w:rsidRPr="0047725C">
        <w:rPr>
          <w:rFonts w:cs="HelveticaNeue-BoldCond"/>
          <w:bCs/>
          <w:sz w:val="20"/>
          <w:szCs w:val="20"/>
        </w:rPr>
        <w:t>.162) in comparison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to the crystalloid group (20%). Intensive care unit and hospital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mortality were similar in each group (</w:t>
      </w:r>
      <w:proofErr w:type="spellStart"/>
      <w:r w:rsidRPr="0047725C">
        <w:rPr>
          <w:rFonts w:cs="HelveticaNeue-BoldCond"/>
          <w:bCs/>
          <w:sz w:val="20"/>
          <w:szCs w:val="20"/>
        </w:rPr>
        <w:t>hydroxyethyl</w:t>
      </w:r>
      <w:proofErr w:type="spellEnd"/>
      <w:r w:rsidRPr="0047725C">
        <w:rPr>
          <w:rFonts w:cs="HelveticaNeue-BoldCond"/>
          <w:bCs/>
          <w:sz w:val="20"/>
          <w:szCs w:val="20"/>
        </w:rPr>
        <w:t xml:space="preserve"> starch: 35%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and 43%; gelatin: 26% and 31%; crystalloids: 30% and 37%).</w:t>
      </w:r>
    </w:p>
    <w:p w:rsidR="0047725C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725C">
        <w:rPr>
          <w:rFonts w:cs="HelveticaNeue-BoldCondObl"/>
          <w:bCs/>
          <w:i/>
          <w:iCs/>
          <w:sz w:val="20"/>
          <w:szCs w:val="20"/>
        </w:rPr>
        <w:t xml:space="preserve">Conclusion: </w:t>
      </w:r>
      <w:r w:rsidRPr="0047725C">
        <w:rPr>
          <w:rFonts w:cs="HelveticaNeue-BoldCond"/>
          <w:bCs/>
          <w:sz w:val="20"/>
          <w:szCs w:val="20"/>
        </w:rPr>
        <w:t>Fluid resuscitation with only crystalloids was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equally effective, resulted in a more positive fluid balance only on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>the first 2 days, and was associated with a lesser incidence of</w:t>
      </w:r>
      <w:r>
        <w:rPr>
          <w:rFonts w:cs="HelveticaNeue-BoldCond"/>
          <w:bCs/>
          <w:sz w:val="20"/>
          <w:szCs w:val="20"/>
        </w:rPr>
        <w:t xml:space="preserve"> </w:t>
      </w:r>
      <w:r w:rsidRPr="0047725C">
        <w:rPr>
          <w:rFonts w:cs="HelveticaNeue-BoldCond"/>
          <w:bCs/>
          <w:sz w:val="20"/>
          <w:szCs w:val="20"/>
        </w:rPr>
        <w:t xml:space="preserve">acute kidney injury. </w:t>
      </w:r>
    </w:p>
    <w:p w:rsid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725C" w:rsidRPr="00474B46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>• In patients with severe sepsis, acute kidney injury (AKI) was significantly more likely to occur in patients receiving colloids versus crystalloids (47% crystalloids, 70% HES, 68% gelatin).</w:t>
      </w: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725C" w:rsidRPr="00474B46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>• There was not a significant difference in the incidence of RRT among groups</w:t>
      </w: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725C" w:rsidRPr="00474B46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>• Severity scores, ICU and hospital mortality and ICU length of stay did not differ significantly between groups</w:t>
      </w: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725C" w:rsidRPr="00474B46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>• Colloids were associated with a higher MAP on most study days</w:t>
      </w: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725C" w:rsidRPr="00474B46" w:rsidRDefault="0047725C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 xml:space="preserve">• Baseline </w:t>
      </w:r>
      <w:proofErr w:type="spellStart"/>
      <w:r w:rsidRPr="00474B46">
        <w:rPr>
          <w:rFonts w:cs="HelveticaNeue-BoldCond"/>
          <w:bCs/>
          <w:sz w:val="20"/>
          <w:szCs w:val="20"/>
        </w:rPr>
        <w:t>creatinine</w:t>
      </w:r>
      <w:proofErr w:type="spellEnd"/>
      <w:r w:rsidRPr="00474B46">
        <w:rPr>
          <w:rFonts w:cs="HelveticaNeue-BoldCond"/>
          <w:bCs/>
          <w:sz w:val="20"/>
          <w:szCs w:val="20"/>
        </w:rPr>
        <w:t xml:space="preserve">, cardiothoracic surgery, </w:t>
      </w:r>
      <w:proofErr w:type="spellStart"/>
      <w:r w:rsidRPr="00474B46">
        <w:rPr>
          <w:rFonts w:cs="HelveticaNeue-BoldCond"/>
          <w:bCs/>
          <w:sz w:val="20"/>
          <w:szCs w:val="20"/>
        </w:rPr>
        <w:t>antimycotics</w:t>
      </w:r>
      <w:proofErr w:type="spellEnd"/>
      <w:r w:rsidRPr="00474B46">
        <w:rPr>
          <w:rFonts w:cs="HelveticaNeue-BoldCond"/>
          <w:bCs/>
          <w:sz w:val="20"/>
          <w:szCs w:val="20"/>
        </w:rPr>
        <w:t>, human albumin 20%, iodinated contrast media, HES 6% and gelatin 4% were independent risk factors for AKI following regression analysis</w:t>
      </w: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>• There was a dose-related risk of AKI with crystalloids only (the more crystalloids given, the higher the risk of AKI)</w:t>
      </w: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725C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 xml:space="preserve">• HES and gelatin were independent risk factors for RRT </w:t>
      </w: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 xml:space="preserve">• More patients in the HES group received </w:t>
      </w:r>
      <w:proofErr w:type="spellStart"/>
      <w:r w:rsidRPr="00474B46">
        <w:rPr>
          <w:rFonts w:cs="HelveticaNeue-BoldCond"/>
          <w:bCs/>
          <w:sz w:val="20"/>
          <w:szCs w:val="20"/>
        </w:rPr>
        <w:t>antifungals</w:t>
      </w:r>
      <w:proofErr w:type="spellEnd"/>
      <w:r w:rsidRPr="00474B46">
        <w:rPr>
          <w:rFonts w:cs="HelveticaNeue-BoldCond"/>
          <w:bCs/>
          <w:sz w:val="20"/>
          <w:szCs w:val="20"/>
        </w:rPr>
        <w:t>. More patients in the gelatin group received ACE inhibitors.</w:t>
      </w:r>
    </w:p>
    <w:p w:rsidR="00474B46" w:rsidRP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474B46">
        <w:rPr>
          <w:rFonts w:cs="HelveticaNeue-BoldCond"/>
          <w:bCs/>
          <w:sz w:val="20"/>
          <w:szCs w:val="20"/>
        </w:rPr>
        <w:t>• Crystalloid group contained more patients with an abdominal source of sepsis</w:t>
      </w:r>
    </w:p>
    <w:p w:rsid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74B46" w:rsidRDefault="00474B46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>
        <w:rPr>
          <w:rFonts w:cs="HelveticaNeue-BoldCond"/>
          <w:bCs/>
          <w:sz w:val="20"/>
          <w:szCs w:val="20"/>
        </w:rPr>
        <w:lastRenderedPageBreak/>
        <w:t xml:space="preserve">• There was no difference in baseline </w:t>
      </w:r>
      <w:proofErr w:type="spellStart"/>
      <w:r>
        <w:rPr>
          <w:rFonts w:cs="HelveticaNeue-BoldCond"/>
          <w:bCs/>
          <w:sz w:val="20"/>
          <w:szCs w:val="20"/>
        </w:rPr>
        <w:t>creatinine</w:t>
      </w:r>
      <w:proofErr w:type="spellEnd"/>
      <w:r>
        <w:rPr>
          <w:rFonts w:cs="HelveticaNeue-BoldCond"/>
          <w:bCs/>
          <w:sz w:val="20"/>
          <w:szCs w:val="20"/>
        </w:rPr>
        <w:t xml:space="preserve">, </w:t>
      </w:r>
      <w:proofErr w:type="spellStart"/>
      <w:r>
        <w:rPr>
          <w:rFonts w:cs="HelveticaNeue-BoldCond"/>
          <w:bCs/>
          <w:sz w:val="20"/>
          <w:szCs w:val="20"/>
        </w:rPr>
        <w:t>creatinine</w:t>
      </w:r>
      <w:proofErr w:type="spellEnd"/>
      <w:r>
        <w:rPr>
          <w:rFonts w:cs="HelveticaNeue-BoldCond"/>
          <w:bCs/>
          <w:sz w:val="20"/>
          <w:szCs w:val="20"/>
        </w:rPr>
        <w:t xml:space="preserve"> clearance or Simplified Acute Physiology Score II scores between groups</w:t>
      </w:r>
    </w:p>
    <w:p w:rsidR="00BB529D" w:rsidRDefault="00BB529D" w:rsidP="0047725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BB529D" w:rsidRDefault="00BB529D">
      <w:pPr>
        <w:rPr>
          <w:rFonts w:cs="HelveticaNeue-BoldCond"/>
          <w:bCs/>
          <w:sz w:val="20"/>
          <w:szCs w:val="20"/>
        </w:rPr>
      </w:pPr>
      <w:r>
        <w:rPr>
          <w:rFonts w:cs="HelveticaNeue-BoldCond"/>
          <w:bCs/>
          <w:sz w:val="20"/>
          <w:szCs w:val="20"/>
        </w:rPr>
        <w:br w:type="page"/>
      </w: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proofErr w:type="spellStart"/>
      <w:r w:rsidRPr="009F509D">
        <w:rPr>
          <w:rFonts w:cs="HelveticaNeue-BoldCond"/>
          <w:bCs/>
          <w:sz w:val="20"/>
          <w:szCs w:val="20"/>
        </w:rPr>
        <w:lastRenderedPageBreak/>
        <w:t>Crit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Care Med 2011; 39:1251–</w:t>
      </w:r>
      <w:r>
        <w:rPr>
          <w:rFonts w:cs="HelveticaNeue-BoldCond"/>
          <w:bCs/>
          <w:sz w:val="20"/>
          <w:szCs w:val="20"/>
        </w:rPr>
        <w:t>1256</w:t>
      </w:r>
    </w:p>
    <w:p w:rsidR="00BB529D" w:rsidRPr="00BB529D" w:rsidRDefault="00BB529D" w:rsidP="00BB529D">
      <w:pPr>
        <w:autoSpaceDE w:val="0"/>
        <w:autoSpaceDN w:val="0"/>
        <w:adjustRightInd w:val="0"/>
        <w:spacing w:after="0" w:line="240" w:lineRule="auto"/>
        <w:jc w:val="center"/>
        <w:rPr>
          <w:rFonts w:cs="Clearface-Bold"/>
          <w:b/>
          <w:bCs/>
          <w:sz w:val="24"/>
          <w:szCs w:val="24"/>
        </w:rPr>
      </w:pPr>
      <w:r w:rsidRPr="00BB529D">
        <w:rPr>
          <w:rFonts w:cs="Clearface-Bold"/>
          <w:b/>
          <w:bCs/>
          <w:sz w:val="24"/>
          <w:szCs w:val="24"/>
        </w:rPr>
        <w:t xml:space="preserve">Diagnostic use of serum </w:t>
      </w:r>
      <w:proofErr w:type="spellStart"/>
      <w:r w:rsidRPr="00BB529D">
        <w:rPr>
          <w:rFonts w:cs="Clearface-Bold"/>
          <w:b/>
          <w:bCs/>
          <w:sz w:val="24"/>
          <w:szCs w:val="24"/>
        </w:rPr>
        <w:t>procalcitonin</w:t>
      </w:r>
      <w:proofErr w:type="spellEnd"/>
      <w:r w:rsidRPr="00BB529D">
        <w:rPr>
          <w:rFonts w:cs="Clearface-Bold"/>
          <w:b/>
          <w:bCs/>
          <w:sz w:val="24"/>
          <w:szCs w:val="24"/>
        </w:rPr>
        <w:t xml:space="preserve"> levels in pulmonary</w:t>
      </w:r>
    </w:p>
    <w:p w:rsidR="00BB529D" w:rsidRPr="00BB529D" w:rsidRDefault="00BB529D" w:rsidP="00BB529D">
      <w:pPr>
        <w:autoSpaceDE w:val="0"/>
        <w:autoSpaceDN w:val="0"/>
        <w:adjustRightInd w:val="0"/>
        <w:spacing w:after="0" w:line="240" w:lineRule="auto"/>
        <w:jc w:val="center"/>
        <w:rPr>
          <w:rFonts w:cs="Clearface-Bold"/>
          <w:b/>
          <w:bCs/>
          <w:sz w:val="24"/>
          <w:szCs w:val="24"/>
        </w:rPr>
      </w:pPr>
      <w:r>
        <w:rPr>
          <w:rFonts w:cs="Clearface-Bold"/>
          <w:b/>
          <w:bCs/>
          <w:sz w:val="24"/>
          <w:szCs w:val="24"/>
        </w:rPr>
        <w:t>aspiration syndromes</w:t>
      </w:r>
    </w:p>
    <w:p w:rsidR="00BB529D" w:rsidRDefault="00BB529D" w:rsidP="00BB529D">
      <w:pPr>
        <w:autoSpaceDE w:val="0"/>
        <w:autoSpaceDN w:val="0"/>
        <w:adjustRightInd w:val="0"/>
        <w:spacing w:after="0" w:line="240" w:lineRule="auto"/>
        <w:jc w:val="center"/>
        <w:rPr>
          <w:rFonts w:cs="HelveticaNeue-Condensed"/>
          <w:sz w:val="24"/>
          <w:szCs w:val="24"/>
        </w:rPr>
      </w:pPr>
      <w:r w:rsidRPr="00BB529D">
        <w:rPr>
          <w:rFonts w:cs="HelveticaNeue-Condensed"/>
          <w:sz w:val="24"/>
          <w:szCs w:val="24"/>
        </w:rPr>
        <w:t>Ali A. El-</w:t>
      </w:r>
      <w:proofErr w:type="spellStart"/>
      <w:r w:rsidRPr="00BB529D">
        <w:rPr>
          <w:rFonts w:cs="HelveticaNeue-Condensed"/>
          <w:sz w:val="24"/>
          <w:szCs w:val="24"/>
        </w:rPr>
        <w:t>Solh</w:t>
      </w:r>
      <w:proofErr w:type="spellEnd"/>
      <w:r w:rsidRPr="00BB529D">
        <w:rPr>
          <w:rFonts w:cs="HelveticaNeue-Condensed"/>
          <w:sz w:val="24"/>
          <w:szCs w:val="24"/>
        </w:rPr>
        <w:t xml:space="preserve">, MD, MPH; </w:t>
      </w:r>
      <w:proofErr w:type="spellStart"/>
      <w:r w:rsidRPr="00BB529D">
        <w:rPr>
          <w:rFonts w:cs="HelveticaNeue-Condensed"/>
          <w:sz w:val="24"/>
          <w:szCs w:val="24"/>
        </w:rPr>
        <w:t>Hardik</w:t>
      </w:r>
      <w:proofErr w:type="spellEnd"/>
      <w:r w:rsidRPr="00BB529D">
        <w:rPr>
          <w:rFonts w:cs="HelveticaNeue-Condensed"/>
          <w:sz w:val="24"/>
          <w:szCs w:val="24"/>
        </w:rPr>
        <w:t xml:space="preserve"> </w:t>
      </w:r>
      <w:proofErr w:type="spellStart"/>
      <w:r w:rsidRPr="00BB529D">
        <w:rPr>
          <w:rFonts w:cs="HelveticaNeue-Condensed"/>
          <w:sz w:val="24"/>
          <w:szCs w:val="24"/>
        </w:rPr>
        <w:t>Vora</w:t>
      </w:r>
      <w:proofErr w:type="spellEnd"/>
      <w:r w:rsidRPr="00BB529D">
        <w:rPr>
          <w:rFonts w:cs="HelveticaNeue-Condensed"/>
          <w:sz w:val="24"/>
          <w:szCs w:val="24"/>
        </w:rPr>
        <w:t xml:space="preserve">, MD; Paul R. Knight III, MD, PhD; </w:t>
      </w:r>
      <w:proofErr w:type="spellStart"/>
      <w:r w:rsidRPr="00BB529D">
        <w:rPr>
          <w:rFonts w:cs="HelveticaNeue-Condensed"/>
          <w:sz w:val="24"/>
          <w:szCs w:val="24"/>
        </w:rPr>
        <w:t>Jahan</w:t>
      </w:r>
      <w:proofErr w:type="spellEnd"/>
      <w:r w:rsidRPr="00BB529D">
        <w:rPr>
          <w:rFonts w:cs="HelveticaNeue-Condensed"/>
          <w:sz w:val="24"/>
          <w:szCs w:val="24"/>
        </w:rPr>
        <w:t xml:space="preserve"> </w:t>
      </w:r>
      <w:proofErr w:type="spellStart"/>
      <w:r w:rsidRPr="00BB529D">
        <w:rPr>
          <w:rFonts w:cs="HelveticaNeue-Condensed"/>
          <w:sz w:val="24"/>
          <w:szCs w:val="24"/>
        </w:rPr>
        <w:t>Porhomayon</w:t>
      </w:r>
      <w:proofErr w:type="spellEnd"/>
      <w:r w:rsidRPr="00BB529D">
        <w:rPr>
          <w:rFonts w:cs="HelveticaNeue-Condensed"/>
          <w:sz w:val="24"/>
          <w:szCs w:val="24"/>
        </w:rPr>
        <w:t>, MD</w:t>
      </w:r>
    </w:p>
    <w:p w:rsid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ascii="HelveticaNeue-BoldCondObl" w:hAnsi="HelveticaNeue-BoldCondObl" w:cs="HelveticaNeue-BoldCondObl"/>
          <w:b/>
          <w:bCs/>
          <w:i/>
          <w:iCs/>
          <w:sz w:val="19"/>
          <w:szCs w:val="19"/>
        </w:rPr>
      </w:pP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9F509D">
        <w:rPr>
          <w:rFonts w:cs="HelveticaNeue-BoldCondObl"/>
          <w:bCs/>
          <w:i/>
          <w:iCs/>
          <w:sz w:val="20"/>
          <w:szCs w:val="20"/>
        </w:rPr>
        <w:t xml:space="preserve">Objective: </w:t>
      </w:r>
      <w:r w:rsidRPr="009F509D">
        <w:rPr>
          <w:rFonts w:cs="HelveticaNeue-BoldCond"/>
          <w:bCs/>
          <w:sz w:val="20"/>
          <w:szCs w:val="20"/>
        </w:rPr>
        <w:t xml:space="preserve">To assess the predictive accuracy of serum </w:t>
      </w:r>
      <w:proofErr w:type="spellStart"/>
      <w:r w:rsidRPr="009F509D">
        <w:rPr>
          <w:rFonts w:cs="HelveticaNeue-BoldCond"/>
          <w:bCs/>
          <w:sz w:val="20"/>
          <w:szCs w:val="20"/>
        </w:rPr>
        <w:t>procalcitonin</w:t>
      </w:r>
      <w:proofErr w:type="spellEnd"/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>in distinguishing bacterial aspiration pneumonia from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aspiration </w:t>
      </w:r>
      <w:proofErr w:type="spellStart"/>
      <w:r w:rsidRPr="009F509D">
        <w:rPr>
          <w:rFonts w:cs="HelveticaNeue-BoldCond"/>
          <w:bCs/>
          <w:sz w:val="20"/>
          <w:szCs w:val="20"/>
        </w:rPr>
        <w:t>pneumonitis</w:t>
      </w:r>
      <w:proofErr w:type="spellEnd"/>
      <w:r w:rsidRPr="009F509D">
        <w:rPr>
          <w:rFonts w:cs="HelveticaNeue-BoldCond"/>
          <w:bCs/>
          <w:sz w:val="20"/>
          <w:szCs w:val="20"/>
        </w:rPr>
        <w:t>.</w:t>
      </w: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9F509D">
        <w:rPr>
          <w:rFonts w:cs="HelveticaNeue-BoldCondObl"/>
          <w:bCs/>
          <w:i/>
          <w:iCs/>
          <w:sz w:val="20"/>
          <w:szCs w:val="20"/>
        </w:rPr>
        <w:t xml:space="preserve">Design: </w:t>
      </w:r>
      <w:r w:rsidRPr="009F509D">
        <w:rPr>
          <w:rFonts w:cs="HelveticaNeue-BoldCond"/>
          <w:bCs/>
          <w:sz w:val="20"/>
          <w:szCs w:val="20"/>
        </w:rPr>
        <w:t>Prospective observational study.</w:t>
      </w: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9F509D">
        <w:rPr>
          <w:rFonts w:cs="HelveticaNeue-BoldCondObl"/>
          <w:bCs/>
          <w:i/>
          <w:iCs/>
          <w:sz w:val="20"/>
          <w:szCs w:val="20"/>
        </w:rPr>
        <w:t xml:space="preserve">Setting: </w:t>
      </w:r>
      <w:r w:rsidRPr="009F509D">
        <w:rPr>
          <w:rFonts w:cs="HelveticaNeue-BoldCond"/>
          <w:bCs/>
          <w:sz w:val="20"/>
          <w:szCs w:val="20"/>
        </w:rPr>
        <w:t>Intensive care unit of a university-affiliated hospital.</w:t>
      </w: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9F509D">
        <w:rPr>
          <w:rFonts w:cs="HelveticaNeue-BoldCondObl"/>
          <w:bCs/>
          <w:i/>
          <w:iCs/>
          <w:sz w:val="20"/>
          <w:szCs w:val="20"/>
        </w:rPr>
        <w:t xml:space="preserve">Patients: </w:t>
      </w:r>
      <w:r w:rsidRPr="009F509D">
        <w:rPr>
          <w:rFonts w:cs="HelveticaNeue-BoldCond"/>
          <w:bCs/>
          <w:sz w:val="20"/>
          <w:szCs w:val="20"/>
        </w:rPr>
        <w:t>Sixty-five consecutive patients admitted with pulmonary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aspiration and seven control subjects </w:t>
      </w:r>
      <w:proofErr w:type="spellStart"/>
      <w:r w:rsidRPr="009F509D">
        <w:rPr>
          <w:rFonts w:cs="HelveticaNeue-BoldCond"/>
          <w:bCs/>
          <w:sz w:val="20"/>
          <w:szCs w:val="20"/>
        </w:rPr>
        <w:t>intubated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for airway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>protection.</w:t>
      </w: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9F509D">
        <w:rPr>
          <w:rFonts w:cs="HelveticaNeue-BoldCondObl"/>
          <w:bCs/>
          <w:i/>
          <w:iCs/>
          <w:sz w:val="20"/>
          <w:szCs w:val="20"/>
        </w:rPr>
        <w:t xml:space="preserve">Interventions: </w:t>
      </w:r>
      <w:r w:rsidRPr="009F509D">
        <w:rPr>
          <w:rFonts w:cs="HelveticaNeue-BoldCond"/>
          <w:bCs/>
          <w:sz w:val="20"/>
          <w:szCs w:val="20"/>
        </w:rPr>
        <w:t>None.</w:t>
      </w: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9F509D">
        <w:rPr>
          <w:rFonts w:cs="HelveticaNeue-BoldCondObl"/>
          <w:bCs/>
          <w:i/>
          <w:iCs/>
          <w:sz w:val="20"/>
          <w:szCs w:val="20"/>
        </w:rPr>
        <w:t xml:space="preserve">Measurements and Main Results: </w:t>
      </w:r>
      <w:r w:rsidRPr="009F509D">
        <w:rPr>
          <w:rFonts w:cs="HelveticaNeue-BoldCond"/>
          <w:bCs/>
          <w:sz w:val="20"/>
          <w:szCs w:val="20"/>
        </w:rPr>
        <w:t>Quantitative cultures from</w:t>
      </w:r>
      <w:r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9F509D">
        <w:rPr>
          <w:rFonts w:cs="HelveticaNeue-BoldCond"/>
          <w:bCs/>
          <w:sz w:val="20"/>
          <w:szCs w:val="20"/>
        </w:rPr>
        <w:t>bronchoalveolar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9F509D">
        <w:rPr>
          <w:rFonts w:cs="HelveticaNeue-BoldCond"/>
          <w:bCs/>
          <w:sz w:val="20"/>
          <w:szCs w:val="20"/>
        </w:rPr>
        <w:t>lavage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fluid were conducted on all participants at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the time of admission. Serial serum </w:t>
      </w:r>
      <w:proofErr w:type="spellStart"/>
      <w:r w:rsidRPr="009F509D">
        <w:rPr>
          <w:rFonts w:cs="HelveticaNeue-BoldCond"/>
          <w:bCs/>
          <w:sz w:val="20"/>
          <w:szCs w:val="20"/>
        </w:rPr>
        <w:t>procalcitonin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levels were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measured on day 1 and day 3 using the </w:t>
      </w:r>
      <w:proofErr w:type="spellStart"/>
      <w:r w:rsidRPr="009F509D">
        <w:rPr>
          <w:rFonts w:cs="HelveticaNeue-BoldCond"/>
          <w:bCs/>
          <w:sz w:val="20"/>
          <w:szCs w:val="20"/>
        </w:rPr>
        <w:t>procalcitonin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enzyme</w:t>
      </w:r>
      <w:r>
        <w:rPr>
          <w:rFonts w:cs="HelveticaNeue-BoldCond"/>
          <w:bCs/>
          <w:sz w:val="20"/>
          <w:szCs w:val="20"/>
        </w:rPr>
        <w:t>-</w:t>
      </w:r>
      <w:r w:rsidRPr="009F509D">
        <w:rPr>
          <w:rFonts w:cs="HelveticaNeue-BoldCond"/>
          <w:bCs/>
          <w:sz w:val="20"/>
          <w:szCs w:val="20"/>
        </w:rPr>
        <w:t>linked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>fluorescent assay. There were no differences in the median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serum concentrations of </w:t>
      </w:r>
      <w:proofErr w:type="spellStart"/>
      <w:r w:rsidRPr="009F509D">
        <w:rPr>
          <w:rFonts w:cs="HelveticaNeue-BoldCond"/>
          <w:bCs/>
          <w:sz w:val="20"/>
          <w:szCs w:val="20"/>
        </w:rPr>
        <w:t>procalcitonin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between patients with positive</w:t>
      </w:r>
      <w:r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9F509D">
        <w:rPr>
          <w:rFonts w:cs="HelveticaNeue-BoldCond"/>
          <w:bCs/>
          <w:sz w:val="20"/>
          <w:szCs w:val="20"/>
        </w:rPr>
        <w:t>bronchoalveolar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9F509D">
        <w:rPr>
          <w:rFonts w:cs="HelveticaNeue-BoldCond"/>
          <w:bCs/>
          <w:sz w:val="20"/>
          <w:szCs w:val="20"/>
        </w:rPr>
        <w:t>lavage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cultures (n </w:t>
      </w:r>
      <w:r w:rsidRPr="009F509D">
        <w:rPr>
          <w:rFonts w:cs="MathematicalPi-Four"/>
          <w:sz w:val="20"/>
          <w:szCs w:val="20"/>
        </w:rPr>
        <w:t xml:space="preserve">_ </w:t>
      </w:r>
      <w:r w:rsidRPr="009F509D">
        <w:rPr>
          <w:rFonts w:cs="HelveticaNeue-BoldCond"/>
          <w:bCs/>
          <w:sz w:val="20"/>
          <w:szCs w:val="20"/>
        </w:rPr>
        <w:t>32) and patients with</w:t>
      </w: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9F509D">
        <w:rPr>
          <w:rFonts w:cs="HelveticaNeue-BoldCond"/>
          <w:bCs/>
          <w:sz w:val="20"/>
          <w:szCs w:val="20"/>
        </w:rPr>
        <w:t xml:space="preserve">negative </w:t>
      </w:r>
      <w:proofErr w:type="spellStart"/>
      <w:r w:rsidRPr="009F509D">
        <w:rPr>
          <w:rFonts w:cs="HelveticaNeue-BoldCond"/>
          <w:bCs/>
          <w:sz w:val="20"/>
          <w:szCs w:val="20"/>
        </w:rPr>
        <w:t>bronchoalveolar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9F509D">
        <w:rPr>
          <w:rFonts w:cs="HelveticaNeue-BoldCond"/>
          <w:bCs/>
          <w:sz w:val="20"/>
          <w:szCs w:val="20"/>
        </w:rPr>
        <w:t>lavage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cultures (n </w:t>
      </w:r>
      <w:r w:rsidRPr="009F509D">
        <w:rPr>
          <w:rFonts w:cs="MathematicalPi-Four"/>
          <w:sz w:val="20"/>
          <w:szCs w:val="20"/>
        </w:rPr>
        <w:t xml:space="preserve">_ </w:t>
      </w:r>
      <w:r w:rsidRPr="009F509D">
        <w:rPr>
          <w:rFonts w:cs="HelveticaNeue-BoldCond"/>
          <w:bCs/>
          <w:sz w:val="20"/>
          <w:szCs w:val="20"/>
        </w:rPr>
        <w:t>33) on either day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>1 or day 3 post</w:t>
      </w:r>
      <w:r>
        <w:rPr>
          <w:rFonts w:cs="HelveticaNeue-BoldCond"/>
          <w:bCs/>
          <w:sz w:val="20"/>
          <w:szCs w:val="20"/>
        </w:rPr>
        <w:t>-</w:t>
      </w:r>
      <w:r w:rsidRPr="009F509D">
        <w:rPr>
          <w:rFonts w:cs="HelveticaNeue-BoldCond"/>
          <w:bCs/>
          <w:sz w:val="20"/>
          <w:szCs w:val="20"/>
        </w:rPr>
        <w:t xml:space="preserve">admission. The areas under the receiver </w:t>
      </w:r>
      <w:proofErr w:type="spellStart"/>
      <w:r w:rsidRPr="009F509D">
        <w:rPr>
          <w:rFonts w:cs="HelveticaNeue-BoldCond"/>
          <w:bCs/>
          <w:sz w:val="20"/>
          <w:szCs w:val="20"/>
        </w:rPr>
        <w:t>operatorcharacteristic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curves were 0.59 (95% confidence interval, 0.47–0.72) and 0.63 (95% confidence interval, 0.5– 0.75), respectively(</w:t>
      </w:r>
      <w:r w:rsidRPr="009F509D">
        <w:rPr>
          <w:rFonts w:cs="HelveticaNeue-BoldCondObl"/>
          <w:bCs/>
          <w:i/>
          <w:iCs/>
          <w:sz w:val="20"/>
          <w:szCs w:val="20"/>
        </w:rPr>
        <w:t xml:space="preserve">p </w:t>
      </w:r>
      <w:r w:rsidRPr="009F509D">
        <w:rPr>
          <w:rFonts w:cs="MathematicalPi-Four"/>
          <w:sz w:val="20"/>
          <w:szCs w:val="20"/>
        </w:rPr>
        <w:t xml:space="preserve">_ </w:t>
      </w:r>
      <w:r w:rsidRPr="009F509D">
        <w:rPr>
          <w:rFonts w:cs="HelveticaNeue-BoldCond"/>
          <w:bCs/>
          <w:sz w:val="20"/>
          <w:szCs w:val="20"/>
        </w:rPr>
        <w:t>.74). However, duration of mechanical ventilation and antibiotic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>therapy were shorter in those who had a decrease in their</w:t>
      </w:r>
      <w:r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9F509D">
        <w:rPr>
          <w:rFonts w:cs="HelveticaNeue-BoldCond"/>
          <w:bCs/>
          <w:sz w:val="20"/>
          <w:szCs w:val="20"/>
        </w:rPr>
        <w:t>procalcitonin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levels on day 3 from baseline compared with those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>who did not (6.7</w:t>
      </w:r>
      <w:r w:rsidRPr="009F509D">
        <w:rPr>
          <w:rFonts w:cs="MathematicalPi-Four"/>
          <w:sz w:val="20"/>
          <w:szCs w:val="20"/>
        </w:rPr>
        <w:t>_</w:t>
      </w:r>
      <w:r w:rsidRPr="009F509D">
        <w:rPr>
          <w:rFonts w:cs="HelveticaNeue-BoldCond"/>
          <w:bCs/>
          <w:sz w:val="20"/>
          <w:szCs w:val="20"/>
        </w:rPr>
        <w:t>7.1 days and 11.1</w:t>
      </w:r>
      <w:r w:rsidRPr="009F509D">
        <w:rPr>
          <w:rFonts w:cs="MathematicalPi-Four"/>
          <w:sz w:val="20"/>
          <w:szCs w:val="20"/>
        </w:rPr>
        <w:t>_</w:t>
      </w:r>
      <w:r w:rsidRPr="009F509D">
        <w:rPr>
          <w:rFonts w:cs="HelveticaNeue-BoldCond"/>
          <w:bCs/>
          <w:sz w:val="20"/>
          <w:szCs w:val="20"/>
        </w:rPr>
        <w:t xml:space="preserve">13.5 days, </w:t>
      </w:r>
      <w:r w:rsidRPr="009F509D">
        <w:rPr>
          <w:rFonts w:cs="HelveticaNeue-BoldCondObl"/>
          <w:bCs/>
          <w:i/>
          <w:iCs/>
          <w:sz w:val="20"/>
          <w:szCs w:val="20"/>
        </w:rPr>
        <w:t>p</w:t>
      </w:r>
      <w:r w:rsidRPr="009F509D">
        <w:rPr>
          <w:rFonts w:cs="MathematicalPi-Four"/>
          <w:sz w:val="20"/>
          <w:szCs w:val="20"/>
        </w:rPr>
        <w:t>_</w:t>
      </w:r>
      <w:r w:rsidRPr="009F509D">
        <w:rPr>
          <w:rFonts w:cs="HelveticaNeue-BoldCond"/>
          <w:bCs/>
          <w:sz w:val="20"/>
          <w:szCs w:val="20"/>
        </w:rPr>
        <w:t>.03; and 8.2</w:t>
      </w:r>
      <w:r w:rsidRPr="009F509D">
        <w:rPr>
          <w:rFonts w:cs="MathematicalPi-Four"/>
          <w:sz w:val="20"/>
          <w:szCs w:val="20"/>
        </w:rPr>
        <w:t>_</w:t>
      </w:r>
      <w:r w:rsidRPr="009F509D">
        <w:rPr>
          <w:rFonts w:cs="HelveticaNeue-BoldCond"/>
          <w:bCs/>
          <w:sz w:val="20"/>
          <w:szCs w:val="20"/>
        </w:rPr>
        <w:t xml:space="preserve">2.6 days vs. 12.8 </w:t>
      </w:r>
      <w:r w:rsidRPr="009F509D">
        <w:rPr>
          <w:rFonts w:cs="MathematicalPi-Four"/>
          <w:sz w:val="20"/>
          <w:szCs w:val="20"/>
        </w:rPr>
        <w:t xml:space="preserve">_ </w:t>
      </w:r>
      <w:r w:rsidRPr="009F509D">
        <w:rPr>
          <w:rFonts w:cs="HelveticaNeue-BoldCond"/>
          <w:bCs/>
          <w:sz w:val="20"/>
          <w:szCs w:val="20"/>
        </w:rPr>
        <w:t xml:space="preserve">4.6 days; </w:t>
      </w:r>
      <w:r w:rsidRPr="009F509D">
        <w:rPr>
          <w:rFonts w:cs="HelveticaNeue-BoldCondObl"/>
          <w:bCs/>
          <w:i/>
          <w:iCs/>
          <w:sz w:val="20"/>
          <w:szCs w:val="20"/>
        </w:rPr>
        <w:t xml:space="preserve">p </w:t>
      </w:r>
      <w:r w:rsidRPr="009F509D">
        <w:rPr>
          <w:rFonts w:cs="Dutch801BT-Bold"/>
          <w:bCs/>
          <w:sz w:val="20"/>
          <w:szCs w:val="20"/>
        </w:rPr>
        <w:t xml:space="preserve">&lt; </w:t>
      </w:r>
      <w:r w:rsidRPr="009F509D">
        <w:rPr>
          <w:rFonts w:cs="HelveticaNeue-BoldCond"/>
          <w:bCs/>
          <w:sz w:val="20"/>
          <w:szCs w:val="20"/>
        </w:rPr>
        <w:t>.001, respectively). Hospital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mortality was associated with radiographic </w:t>
      </w:r>
      <w:proofErr w:type="spellStart"/>
      <w:r w:rsidRPr="009F509D">
        <w:rPr>
          <w:rFonts w:cs="HelveticaNeue-BoldCond"/>
          <w:bCs/>
          <w:sz w:val="20"/>
          <w:szCs w:val="20"/>
        </w:rPr>
        <w:t>multilobar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disease (adjusted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odds ratio, 1.14; 95% confidence interval, 1.01–1.31; </w:t>
      </w:r>
      <w:r w:rsidRPr="009F509D">
        <w:rPr>
          <w:rFonts w:cs="HelveticaNeue-BoldCondObl"/>
          <w:bCs/>
          <w:i/>
          <w:iCs/>
          <w:sz w:val="20"/>
          <w:szCs w:val="20"/>
        </w:rPr>
        <w:t xml:space="preserve">p </w:t>
      </w:r>
      <w:r w:rsidRPr="009F509D">
        <w:rPr>
          <w:rFonts w:cs="MathematicalPi-Four"/>
          <w:sz w:val="20"/>
          <w:szCs w:val="20"/>
        </w:rPr>
        <w:t xml:space="preserve">_ </w:t>
      </w:r>
      <w:r w:rsidRPr="009F509D">
        <w:rPr>
          <w:rFonts w:cs="HelveticaNeue-BoldCond"/>
          <w:bCs/>
          <w:sz w:val="20"/>
          <w:szCs w:val="20"/>
        </w:rPr>
        <w:t>.04)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and increasing </w:t>
      </w:r>
      <w:proofErr w:type="spellStart"/>
      <w:r w:rsidRPr="009F509D">
        <w:rPr>
          <w:rFonts w:cs="HelveticaNeue-BoldCond"/>
          <w:bCs/>
          <w:sz w:val="20"/>
          <w:szCs w:val="20"/>
        </w:rPr>
        <w:t>procalcitonin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levels (adjusted odds ratio, 5.63; 95%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confidence interval, 1.56 –20.29; </w:t>
      </w:r>
      <w:r w:rsidRPr="009F509D">
        <w:rPr>
          <w:rFonts w:cs="HelveticaNeue-BoldCondObl"/>
          <w:bCs/>
          <w:i/>
          <w:iCs/>
          <w:sz w:val="20"/>
          <w:szCs w:val="20"/>
        </w:rPr>
        <w:t xml:space="preserve">p </w:t>
      </w:r>
      <w:r w:rsidRPr="009F509D">
        <w:rPr>
          <w:rFonts w:cs="MathematicalPi-Four"/>
          <w:sz w:val="20"/>
          <w:szCs w:val="20"/>
        </w:rPr>
        <w:t xml:space="preserve">_ </w:t>
      </w:r>
      <w:r w:rsidRPr="009F509D">
        <w:rPr>
          <w:rFonts w:cs="HelveticaNeue-BoldCond"/>
          <w:bCs/>
          <w:sz w:val="20"/>
          <w:szCs w:val="20"/>
        </w:rPr>
        <w:t>.008).</w:t>
      </w:r>
    </w:p>
    <w:p w:rsidR="009F509D" w:rsidRPr="009F509D" w:rsidRDefault="009F509D" w:rsidP="009F509D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9F509D">
        <w:rPr>
          <w:rFonts w:cs="HelveticaNeue-BoldCondObl"/>
          <w:bCs/>
          <w:i/>
          <w:iCs/>
          <w:sz w:val="20"/>
          <w:szCs w:val="20"/>
        </w:rPr>
        <w:t xml:space="preserve">Conclusion: </w:t>
      </w:r>
      <w:r w:rsidRPr="009F509D">
        <w:rPr>
          <w:rFonts w:cs="HelveticaNeue-BoldCond"/>
          <w:bCs/>
          <w:sz w:val="20"/>
          <w:szCs w:val="20"/>
        </w:rPr>
        <w:t xml:space="preserve">Serum </w:t>
      </w:r>
      <w:proofErr w:type="spellStart"/>
      <w:r w:rsidRPr="009F509D">
        <w:rPr>
          <w:rFonts w:cs="HelveticaNeue-BoldCond"/>
          <w:bCs/>
          <w:sz w:val="20"/>
          <w:szCs w:val="20"/>
        </w:rPr>
        <w:t>procalcitonin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levels had poor diagnostic</w:t>
      </w:r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>value in separating bacterial aspiration pneumonia from aspiration</w:t>
      </w:r>
      <w:r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9F509D">
        <w:rPr>
          <w:rFonts w:cs="HelveticaNeue-BoldCond"/>
          <w:bCs/>
          <w:sz w:val="20"/>
          <w:szCs w:val="20"/>
        </w:rPr>
        <w:t>pneumonitis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based on quantitative </w:t>
      </w:r>
      <w:proofErr w:type="spellStart"/>
      <w:r w:rsidRPr="009F509D">
        <w:rPr>
          <w:rFonts w:cs="HelveticaNeue-BoldCond"/>
          <w:bCs/>
          <w:sz w:val="20"/>
          <w:szCs w:val="20"/>
        </w:rPr>
        <w:t>bronchoalveolar</w:t>
      </w:r>
      <w:proofErr w:type="spellEnd"/>
      <w:r w:rsidRPr="009F509D">
        <w:rPr>
          <w:rFonts w:cs="HelveticaNeue-BoldCond"/>
          <w:bCs/>
          <w:sz w:val="20"/>
          <w:szCs w:val="20"/>
        </w:rPr>
        <w:t xml:space="preserve"> </w:t>
      </w:r>
      <w:proofErr w:type="spellStart"/>
      <w:r w:rsidRPr="009F509D">
        <w:rPr>
          <w:rFonts w:cs="HelveticaNeue-BoldCond"/>
          <w:bCs/>
          <w:sz w:val="20"/>
          <w:szCs w:val="20"/>
        </w:rPr>
        <w:t>lavage</w:t>
      </w:r>
      <w:proofErr w:type="spellEnd"/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 xml:space="preserve">culture. However, serial measurements of serum </w:t>
      </w:r>
      <w:proofErr w:type="spellStart"/>
      <w:r w:rsidRPr="009F509D">
        <w:rPr>
          <w:rFonts w:cs="HelveticaNeue-BoldCond"/>
          <w:bCs/>
          <w:sz w:val="20"/>
          <w:szCs w:val="20"/>
        </w:rPr>
        <w:t>procalcitonin</w:t>
      </w:r>
      <w:proofErr w:type="spellEnd"/>
      <w:r>
        <w:rPr>
          <w:rFonts w:cs="HelveticaNeue-BoldCond"/>
          <w:bCs/>
          <w:sz w:val="20"/>
          <w:szCs w:val="20"/>
        </w:rPr>
        <w:t xml:space="preserve"> </w:t>
      </w:r>
      <w:r w:rsidRPr="009F509D">
        <w:rPr>
          <w:rFonts w:cs="HelveticaNeue-BoldCond"/>
          <w:bCs/>
          <w:sz w:val="20"/>
          <w:szCs w:val="20"/>
        </w:rPr>
        <w:t>may be helpful in predicting survival from pulmonary aspiration.</w:t>
      </w:r>
    </w:p>
    <w:p w:rsidR="00584678" w:rsidRDefault="00584678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584678" w:rsidRDefault="00584678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>
        <w:rPr>
          <w:rFonts w:cs="HelveticaNeue-BoldCond"/>
          <w:bCs/>
          <w:sz w:val="20"/>
          <w:szCs w:val="20"/>
        </w:rPr>
        <w:t xml:space="preserve">• </w:t>
      </w:r>
      <w:r w:rsidR="001B5588">
        <w:rPr>
          <w:rFonts w:cs="HelveticaNeue-BoldCond"/>
          <w:bCs/>
          <w:sz w:val="20"/>
          <w:szCs w:val="20"/>
        </w:rPr>
        <w:t xml:space="preserve">Serum </w:t>
      </w:r>
      <w:proofErr w:type="spellStart"/>
      <w:r w:rsidR="001B5588">
        <w:rPr>
          <w:rFonts w:cs="HelveticaNeue-BoldCond"/>
          <w:bCs/>
          <w:sz w:val="20"/>
          <w:szCs w:val="20"/>
        </w:rPr>
        <w:t>procalcitonin</w:t>
      </w:r>
      <w:proofErr w:type="spellEnd"/>
      <w:r w:rsidR="001B5588">
        <w:rPr>
          <w:rFonts w:cs="HelveticaNeue-BoldCond"/>
          <w:bCs/>
          <w:sz w:val="20"/>
          <w:szCs w:val="20"/>
        </w:rPr>
        <w:t xml:space="preserve"> levels </w:t>
      </w:r>
      <w:r w:rsidR="009529E1">
        <w:rPr>
          <w:rFonts w:cs="HelveticaNeue-BoldCond"/>
          <w:bCs/>
          <w:sz w:val="20"/>
          <w:szCs w:val="20"/>
        </w:rPr>
        <w:t>CANNOT</w:t>
      </w:r>
      <w:r w:rsidR="001B5588">
        <w:rPr>
          <w:rFonts w:cs="HelveticaNeue-BoldCond"/>
          <w:bCs/>
          <w:sz w:val="20"/>
          <w:szCs w:val="20"/>
        </w:rPr>
        <w:t xml:space="preserve"> be used to distinguish bacterial aspiration pneumonia from aspiration </w:t>
      </w:r>
      <w:proofErr w:type="spellStart"/>
      <w:r w:rsidR="001B5588">
        <w:rPr>
          <w:rFonts w:cs="HelveticaNeue-BoldCond"/>
          <w:bCs/>
          <w:sz w:val="20"/>
          <w:szCs w:val="20"/>
        </w:rPr>
        <w:t>pneumonitis</w:t>
      </w:r>
      <w:proofErr w:type="spellEnd"/>
      <w:r w:rsidR="001B5588">
        <w:rPr>
          <w:rFonts w:cs="HelveticaNeue-BoldCond"/>
          <w:bCs/>
          <w:sz w:val="20"/>
          <w:szCs w:val="20"/>
        </w:rPr>
        <w:t xml:space="preserve"> based on quantitative BAL culture</w:t>
      </w:r>
      <w:r w:rsidR="004C2589">
        <w:rPr>
          <w:rFonts w:cs="HelveticaNeue-BoldCond"/>
          <w:bCs/>
          <w:sz w:val="20"/>
          <w:szCs w:val="20"/>
        </w:rPr>
        <w:t xml:space="preserve"> (There was no significant difference in PCT levels when comparing patients with culture-positive and culture-negative BAL).</w:t>
      </w:r>
    </w:p>
    <w:p w:rsidR="004C2589" w:rsidRDefault="004C2589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C2589" w:rsidRDefault="004C2589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>
        <w:rPr>
          <w:rFonts w:cs="HelveticaNeue-BoldCond"/>
          <w:bCs/>
          <w:sz w:val="20"/>
          <w:szCs w:val="20"/>
        </w:rPr>
        <w:t xml:space="preserve">• Radiographic </w:t>
      </w:r>
      <w:proofErr w:type="spellStart"/>
      <w:r>
        <w:rPr>
          <w:rFonts w:cs="HelveticaNeue-BoldCond"/>
          <w:bCs/>
          <w:sz w:val="20"/>
          <w:szCs w:val="20"/>
        </w:rPr>
        <w:t>multilobar</w:t>
      </w:r>
      <w:proofErr w:type="spellEnd"/>
      <w:r>
        <w:rPr>
          <w:rFonts w:cs="HelveticaNeue-BoldCond"/>
          <w:bCs/>
          <w:sz w:val="20"/>
          <w:szCs w:val="20"/>
        </w:rPr>
        <w:t xml:space="preserve"> disease on admission and a one-unit increase in PCT levels between day 1 and day 3 were independent predictors of hospital mortality</w:t>
      </w:r>
    </w:p>
    <w:p w:rsidR="004C2589" w:rsidRDefault="004C2589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4C2589" w:rsidRDefault="004C2589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>
        <w:rPr>
          <w:rFonts w:cs="HelveticaNeue-BoldCond"/>
          <w:bCs/>
          <w:sz w:val="20"/>
          <w:szCs w:val="20"/>
        </w:rPr>
        <w:t xml:space="preserve">• </w:t>
      </w:r>
      <w:r w:rsidR="008D0134">
        <w:rPr>
          <w:rFonts w:cs="HelveticaNeue-BoldCond"/>
          <w:bCs/>
          <w:sz w:val="20"/>
          <w:szCs w:val="20"/>
        </w:rPr>
        <w:t xml:space="preserve">Patients that had a drop in PCT  on day 3 (from day 1) had a shorter duration of mechanical ventilation, shorter length of ICU stay, shorter duration of antimicrobial therapy and were more likely to survive.  </w:t>
      </w:r>
    </w:p>
    <w:p w:rsidR="008D0134" w:rsidRDefault="008D0134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584678" w:rsidRDefault="00584678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>
        <w:rPr>
          <w:rFonts w:cs="HelveticaNeue-BoldCond"/>
          <w:bCs/>
          <w:sz w:val="20"/>
          <w:szCs w:val="20"/>
        </w:rPr>
        <w:t>•</w:t>
      </w:r>
      <w:r w:rsidR="001B5588">
        <w:rPr>
          <w:rFonts w:cs="HelveticaNeue-BoldCond"/>
          <w:bCs/>
          <w:sz w:val="20"/>
          <w:szCs w:val="20"/>
        </w:rPr>
        <w:t xml:space="preserve"> </w:t>
      </w:r>
      <w:proofErr w:type="spellStart"/>
      <w:r w:rsidR="00860078">
        <w:rPr>
          <w:rFonts w:cs="HelveticaNeue-BoldCond"/>
          <w:bCs/>
          <w:sz w:val="20"/>
          <w:szCs w:val="20"/>
        </w:rPr>
        <w:t>Procalcitonin</w:t>
      </w:r>
      <w:proofErr w:type="spellEnd"/>
      <w:r w:rsidR="00860078">
        <w:rPr>
          <w:rFonts w:cs="HelveticaNeue-BoldCond"/>
          <w:bCs/>
          <w:sz w:val="20"/>
          <w:szCs w:val="20"/>
        </w:rPr>
        <w:t xml:space="preserve"> has been used as a biomarker to differentiate between bacterial and nonbacterial causes of sepsis.  However, it can also be increased in noninfectious conditions and may remain low in bacterial infections.</w:t>
      </w:r>
    </w:p>
    <w:p w:rsidR="004C2589" w:rsidRDefault="004C2589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584678" w:rsidRDefault="00584678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>
        <w:rPr>
          <w:rFonts w:cs="HelveticaNeue-BoldCond"/>
          <w:bCs/>
          <w:sz w:val="20"/>
          <w:szCs w:val="20"/>
        </w:rPr>
        <w:t>•</w:t>
      </w:r>
      <w:r w:rsidR="00860078">
        <w:rPr>
          <w:rFonts w:cs="HelveticaNeue-BoldCond"/>
          <w:bCs/>
          <w:sz w:val="20"/>
          <w:szCs w:val="20"/>
        </w:rPr>
        <w:t xml:space="preserve"> </w:t>
      </w:r>
      <w:r w:rsidR="004C2589">
        <w:rPr>
          <w:rFonts w:cs="HelveticaNeue-BoldCond"/>
          <w:bCs/>
          <w:sz w:val="20"/>
          <w:szCs w:val="20"/>
        </w:rPr>
        <w:t xml:space="preserve">Patients with pulmonary aspiration were older, had a higher burden of </w:t>
      </w:r>
      <w:proofErr w:type="spellStart"/>
      <w:r w:rsidR="004C2589">
        <w:rPr>
          <w:rFonts w:cs="HelveticaNeue-BoldCond"/>
          <w:bCs/>
          <w:sz w:val="20"/>
          <w:szCs w:val="20"/>
        </w:rPr>
        <w:t>comorbidities</w:t>
      </w:r>
      <w:proofErr w:type="spellEnd"/>
      <w:r w:rsidR="004C2589">
        <w:rPr>
          <w:rFonts w:cs="HelveticaNeue-BoldCond"/>
          <w:bCs/>
          <w:sz w:val="20"/>
          <w:szCs w:val="20"/>
        </w:rPr>
        <w:t>, and were more severely ill than the control group.</w:t>
      </w:r>
    </w:p>
    <w:p w:rsidR="004C2589" w:rsidRDefault="004C2589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584678" w:rsidRPr="004C2589" w:rsidRDefault="00584678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  <w:u w:val="single"/>
        </w:rPr>
      </w:pPr>
      <w:r>
        <w:rPr>
          <w:rFonts w:cs="HelveticaNeue-BoldCond"/>
          <w:bCs/>
          <w:sz w:val="20"/>
          <w:szCs w:val="20"/>
        </w:rPr>
        <w:t>•</w:t>
      </w:r>
      <w:r w:rsidR="004C2589">
        <w:rPr>
          <w:rFonts w:cs="HelveticaNeue-BoldCond"/>
          <w:bCs/>
          <w:sz w:val="20"/>
          <w:szCs w:val="20"/>
        </w:rPr>
        <w:t xml:space="preserve"> BAL was positive in 32/65 patients with </w:t>
      </w:r>
      <w:r w:rsidR="004C2589">
        <w:rPr>
          <w:rFonts w:cs="HelveticaNeue-BoldCond"/>
          <w:bCs/>
          <w:i/>
          <w:sz w:val="20"/>
          <w:szCs w:val="20"/>
        </w:rPr>
        <w:t xml:space="preserve">Staphylococcus </w:t>
      </w:r>
      <w:proofErr w:type="spellStart"/>
      <w:r w:rsidR="004C2589">
        <w:rPr>
          <w:rFonts w:cs="HelveticaNeue-BoldCond"/>
          <w:bCs/>
          <w:i/>
          <w:sz w:val="20"/>
          <w:szCs w:val="20"/>
        </w:rPr>
        <w:t>aureeus</w:t>
      </w:r>
      <w:proofErr w:type="spellEnd"/>
      <w:r w:rsidR="004C2589">
        <w:rPr>
          <w:rFonts w:cs="HelveticaNeue-BoldCond"/>
          <w:bCs/>
          <w:i/>
          <w:sz w:val="20"/>
          <w:szCs w:val="20"/>
        </w:rPr>
        <w:t xml:space="preserve"> and Escherichia coli</w:t>
      </w:r>
      <w:r w:rsidR="004C2589">
        <w:rPr>
          <w:rFonts w:cs="HelveticaNeue-BoldCond"/>
          <w:bCs/>
          <w:sz w:val="20"/>
          <w:szCs w:val="20"/>
        </w:rPr>
        <w:t xml:space="preserve"> the most common isolates</w:t>
      </w:r>
    </w:p>
    <w:p w:rsidR="004C2589" w:rsidRDefault="004C2589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9F509D" w:rsidRPr="009F509D" w:rsidRDefault="00584678" w:rsidP="00584678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>
        <w:rPr>
          <w:rFonts w:cs="HelveticaNeue-BoldCond"/>
          <w:bCs/>
          <w:sz w:val="20"/>
          <w:szCs w:val="20"/>
        </w:rPr>
        <w:t>•</w:t>
      </w:r>
      <w:r w:rsidR="004C2589">
        <w:rPr>
          <w:rFonts w:cs="HelveticaNeue-BoldCond"/>
          <w:bCs/>
          <w:sz w:val="20"/>
          <w:szCs w:val="20"/>
        </w:rPr>
        <w:t xml:space="preserve">There was no correlation between A-a gradient, PaO2:FiO2 or extent of radiographic disease and serum PCT level.  </w:t>
      </w:r>
    </w:p>
    <w:sectPr w:rsidR="009F509D" w:rsidRPr="009F509D" w:rsidSect="00940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Neue-Bold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learface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CondOb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thematicalPi-Fou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utch801B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725C"/>
    <w:rsid w:val="001B5588"/>
    <w:rsid w:val="00474B46"/>
    <w:rsid w:val="0047725C"/>
    <w:rsid w:val="004C2589"/>
    <w:rsid w:val="00584678"/>
    <w:rsid w:val="00860078"/>
    <w:rsid w:val="008D0134"/>
    <w:rsid w:val="0094011C"/>
    <w:rsid w:val="009529E1"/>
    <w:rsid w:val="009F509D"/>
    <w:rsid w:val="00BB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hospubOrig</dc:creator>
  <cp:keywords/>
  <dc:description/>
  <cp:lastModifiedBy>hospubOrig</cp:lastModifiedBy>
  <cp:revision>5</cp:revision>
  <dcterms:created xsi:type="dcterms:W3CDTF">2011-06-04T13:20:00Z</dcterms:created>
  <dcterms:modified xsi:type="dcterms:W3CDTF">2011-06-04T15:24:00Z</dcterms:modified>
</cp:coreProperties>
</file>