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1F0" w:rsidRPr="009A6ADC" w:rsidRDefault="008F61F0" w:rsidP="008F61F0">
      <w:pPr>
        <w:autoSpaceDE w:val="0"/>
        <w:autoSpaceDN w:val="0"/>
        <w:adjustRightInd w:val="0"/>
        <w:spacing w:after="0" w:line="240" w:lineRule="auto"/>
        <w:rPr>
          <w:rFonts w:cs="HelveticaNeue-BoldCond"/>
          <w:bCs/>
          <w:sz w:val="18"/>
          <w:szCs w:val="18"/>
        </w:rPr>
      </w:pPr>
      <w:r w:rsidRPr="009A6ADC">
        <w:rPr>
          <w:rFonts w:cs="HelveticaNeue-BoldCond"/>
          <w:bCs/>
          <w:sz w:val="18"/>
          <w:szCs w:val="18"/>
        </w:rPr>
        <w:t>Crit Care Med 2011; 39:621– 628</w:t>
      </w:r>
    </w:p>
    <w:p w:rsidR="008F61F0" w:rsidRPr="008F61F0" w:rsidRDefault="008F61F0" w:rsidP="008F61F0">
      <w:pPr>
        <w:autoSpaceDE w:val="0"/>
        <w:autoSpaceDN w:val="0"/>
        <w:adjustRightInd w:val="0"/>
        <w:spacing w:after="0" w:line="240" w:lineRule="auto"/>
        <w:jc w:val="center"/>
        <w:rPr>
          <w:rFonts w:cs="Clearface-Bold"/>
          <w:b/>
          <w:bCs/>
          <w:sz w:val="24"/>
          <w:szCs w:val="24"/>
        </w:rPr>
      </w:pPr>
      <w:r w:rsidRPr="008F61F0">
        <w:rPr>
          <w:rFonts w:cs="Clearface-Bold"/>
          <w:b/>
          <w:bCs/>
          <w:sz w:val="24"/>
          <w:szCs w:val="24"/>
        </w:rPr>
        <w:t>Epidemiology and risk factors of sepsis after multiple trauma: An</w:t>
      </w:r>
    </w:p>
    <w:p w:rsidR="008F61F0" w:rsidRPr="008F61F0" w:rsidRDefault="008F61F0" w:rsidP="008F61F0">
      <w:pPr>
        <w:autoSpaceDE w:val="0"/>
        <w:autoSpaceDN w:val="0"/>
        <w:adjustRightInd w:val="0"/>
        <w:spacing w:after="0" w:line="240" w:lineRule="auto"/>
        <w:jc w:val="center"/>
        <w:rPr>
          <w:rFonts w:cs="Clearface-Bold"/>
          <w:b/>
          <w:bCs/>
          <w:sz w:val="24"/>
          <w:szCs w:val="24"/>
        </w:rPr>
      </w:pPr>
      <w:r w:rsidRPr="008F61F0">
        <w:rPr>
          <w:rFonts w:cs="Clearface-Bold"/>
          <w:b/>
          <w:bCs/>
          <w:sz w:val="24"/>
          <w:szCs w:val="24"/>
        </w:rPr>
        <w:t>analysis of 29,829 patients from the Trauma Registry of the</w:t>
      </w:r>
    </w:p>
    <w:p w:rsidR="008F61F0" w:rsidRPr="008F61F0" w:rsidRDefault="008F61F0" w:rsidP="008F61F0">
      <w:pPr>
        <w:autoSpaceDE w:val="0"/>
        <w:autoSpaceDN w:val="0"/>
        <w:adjustRightInd w:val="0"/>
        <w:spacing w:after="0" w:line="240" w:lineRule="auto"/>
        <w:jc w:val="center"/>
        <w:rPr>
          <w:rFonts w:cs="Clearface-Bold"/>
          <w:b/>
          <w:bCs/>
          <w:sz w:val="24"/>
          <w:szCs w:val="24"/>
        </w:rPr>
      </w:pPr>
      <w:r w:rsidRPr="008F61F0">
        <w:rPr>
          <w:rFonts w:cs="Clearface-Bold"/>
          <w:b/>
          <w:bCs/>
          <w:sz w:val="24"/>
          <w:szCs w:val="24"/>
        </w:rPr>
        <w:t>German Society for Trauma Surgery*</w:t>
      </w:r>
    </w:p>
    <w:p w:rsidR="008F61F0" w:rsidRPr="008F61F0" w:rsidRDefault="008F61F0" w:rsidP="008F61F0">
      <w:pPr>
        <w:autoSpaceDE w:val="0"/>
        <w:autoSpaceDN w:val="0"/>
        <w:adjustRightInd w:val="0"/>
        <w:spacing w:after="0" w:line="240" w:lineRule="auto"/>
        <w:jc w:val="center"/>
        <w:rPr>
          <w:rFonts w:cs="HelveticaNeue-Condensed"/>
          <w:sz w:val="20"/>
          <w:szCs w:val="20"/>
        </w:rPr>
      </w:pPr>
      <w:r w:rsidRPr="008F61F0">
        <w:rPr>
          <w:rFonts w:cs="HelveticaNeue-Condensed"/>
          <w:sz w:val="20"/>
          <w:szCs w:val="20"/>
        </w:rPr>
        <w:t>Arasch Wafaisade, PhD; Rolf Lefering, MD; Bertil Bouillon, MD; Samir G. Sakka, MD; Oliver C. Thamm, MD;</w:t>
      </w:r>
    </w:p>
    <w:p w:rsidR="008F61F0" w:rsidRPr="008F61F0" w:rsidRDefault="008F61F0" w:rsidP="008F61F0">
      <w:pPr>
        <w:autoSpaceDE w:val="0"/>
        <w:autoSpaceDN w:val="0"/>
        <w:adjustRightInd w:val="0"/>
        <w:spacing w:after="0" w:line="240" w:lineRule="auto"/>
        <w:jc w:val="center"/>
        <w:rPr>
          <w:rFonts w:cs="HelveticaNeue-Condensed"/>
          <w:sz w:val="20"/>
          <w:szCs w:val="20"/>
        </w:rPr>
      </w:pPr>
      <w:r w:rsidRPr="008F61F0">
        <w:rPr>
          <w:rFonts w:cs="HelveticaNeue-Condensed"/>
          <w:sz w:val="20"/>
          <w:szCs w:val="20"/>
        </w:rPr>
        <w:t>Thomas Paffrath, MD; Edmund Neugebauer, PhD; Marc Maegele, MD; Trauma Registry of the German</w:t>
      </w:r>
    </w:p>
    <w:p w:rsidR="008F61F0" w:rsidRPr="008F61F0" w:rsidRDefault="008F61F0" w:rsidP="008F61F0">
      <w:pPr>
        <w:autoSpaceDE w:val="0"/>
        <w:autoSpaceDN w:val="0"/>
        <w:adjustRightInd w:val="0"/>
        <w:spacing w:after="0" w:line="240" w:lineRule="auto"/>
        <w:jc w:val="center"/>
        <w:rPr>
          <w:rFonts w:cs="HelveticaNeue-Condensed"/>
          <w:sz w:val="20"/>
          <w:szCs w:val="20"/>
        </w:rPr>
      </w:pPr>
      <w:r w:rsidRPr="008F61F0">
        <w:rPr>
          <w:rFonts w:cs="HelveticaNeue-Condensed"/>
          <w:sz w:val="20"/>
          <w:szCs w:val="20"/>
        </w:rPr>
        <w:t>Society for Trauma Surgery</w:t>
      </w:r>
    </w:p>
    <w:p w:rsidR="008F61F0" w:rsidRPr="000800F2" w:rsidRDefault="008F61F0" w:rsidP="008F61F0">
      <w:pPr>
        <w:autoSpaceDE w:val="0"/>
        <w:autoSpaceDN w:val="0"/>
        <w:adjustRightInd w:val="0"/>
        <w:spacing w:after="0" w:line="240" w:lineRule="auto"/>
        <w:rPr>
          <w:rFonts w:cs="HelveticaNeue-BoldCond"/>
          <w:bCs/>
          <w:sz w:val="16"/>
          <w:szCs w:val="16"/>
        </w:rPr>
      </w:pPr>
      <w:r w:rsidRPr="000800F2">
        <w:rPr>
          <w:rFonts w:cs="HelveticaNeue-BoldCondObl"/>
          <w:bCs/>
          <w:i/>
          <w:iCs/>
          <w:sz w:val="16"/>
          <w:szCs w:val="16"/>
        </w:rPr>
        <w:t xml:space="preserve">Objectives: </w:t>
      </w:r>
      <w:r w:rsidRPr="000800F2">
        <w:rPr>
          <w:rFonts w:cs="HelveticaNeue-BoldCond"/>
          <w:bCs/>
          <w:sz w:val="16"/>
          <w:szCs w:val="16"/>
        </w:rPr>
        <w:t>The objectives of this study were 1) to assess potential changes in the incidence and outcome of sepsis after multiple trauma in Germany between 1993 and 2008 and 2) to evaluate independent risk factors for posttraumatic sepsis.</w:t>
      </w:r>
    </w:p>
    <w:p w:rsidR="008F61F0" w:rsidRPr="000800F2" w:rsidRDefault="008F61F0" w:rsidP="008F61F0">
      <w:pPr>
        <w:autoSpaceDE w:val="0"/>
        <w:autoSpaceDN w:val="0"/>
        <w:adjustRightInd w:val="0"/>
        <w:spacing w:after="0" w:line="240" w:lineRule="auto"/>
        <w:rPr>
          <w:rFonts w:cs="HelveticaNeue-BoldCond"/>
          <w:bCs/>
          <w:sz w:val="16"/>
          <w:szCs w:val="16"/>
        </w:rPr>
      </w:pPr>
      <w:r w:rsidRPr="000800F2">
        <w:rPr>
          <w:rFonts w:cs="HelveticaNeue-BoldCondObl"/>
          <w:bCs/>
          <w:i/>
          <w:iCs/>
          <w:sz w:val="16"/>
          <w:szCs w:val="16"/>
        </w:rPr>
        <w:t xml:space="preserve">Design: </w:t>
      </w:r>
      <w:r w:rsidRPr="000800F2">
        <w:rPr>
          <w:rFonts w:cs="HelveticaNeue-BoldCond"/>
          <w:bCs/>
          <w:sz w:val="16"/>
          <w:szCs w:val="16"/>
        </w:rPr>
        <w:t>Retrospective analysis of a nationwide, populationbased prospective database, the Trauma Registry of the German Society for Trauma Surgery.</w:t>
      </w:r>
    </w:p>
    <w:p w:rsidR="008F61F0" w:rsidRPr="000800F2" w:rsidRDefault="008F61F0" w:rsidP="008F61F0">
      <w:pPr>
        <w:autoSpaceDE w:val="0"/>
        <w:autoSpaceDN w:val="0"/>
        <w:adjustRightInd w:val="0"/>
        <w:spacing w:after="0" w:line="240" w:lineRule="auto"/>
        <w:rPr>
          <w:rFonts w:cs="HelveticaNeue-BoldCond"/>
          <w:bCs/>
          <w:sz w:val="16"/>
          <w:szCs w:val="16"/>
        </w:rPr>
      </w:pPr>
      <w:r w:rsidRPr="000800F2">
        <w:rPr>
          <w:rFonts w:cs="HelveticaNeue-BoldCondObl"/>
          <w:bCs/>
          <w:i/>
          <w:iCs/>
          <w:sz w:val="16"/>
          <w:szCs w:val="16"/>
        </w:rPr>
        <w:t xml:space="preserve">Setting: </w:t>
      </w:r>
      <w:r w:rsidRPr="000800F2">
        <w:rPr>
          <w:rFonts w:cs="HelveticaNeue-BoldCond"/>
          <w:bCs/>
          <w:sz w:val="16"/>
          <w:szCs w:val="16"/>
        </w:rPr>
        <w:t>A total of 166 voluntarily participating trauma centers (levels I–III).</w:t>
      </w:r>
    </w:p>
    <w:p w:rsidR="008F61F0" w:rsidRPr="000800F2" w:rsidRDefault="008F61F0" w:rsidP="008F61F0">
      <w:pPr>
        <w:autoSpaceDE w:val="0"/>
        <w:autoSpaceDN w:val="0"/>
        <w:adjustRightInd w:val="0"/>
        <w:spacing w:after="0" w:line="240" w:lineRule="auto"/>
        <w:rPr>
          <w:rFonts w:cs="HelveticaNeue-BoldCond"/>
          <w:bCs/>
          <w:sz w:val="16"/>
          <w:szCs w:val="16"/>
        </w:rPr>
      </w:pPr>
      <w:r w:rsidRPr="000800F2">
        <w:rPr>
          <w:rFonts w:cs="HelveticaNeue-BoldCondObl"/>
          <w:bCs/>
          <w:i/>
          <w:iCs/>
          <w:sz w:val="16"/>
          <w:szCs w:val="16"/>
        </w:rPr>
        <w:t xml:space="preserve">Patients: </w:t>
      </w:r>
      <w:r w:rsidRPr="000800F2">
        <w:rPr>
          <w:rFonts w:cs="HelveticaNeue-BoldCond"/>
          <w:bCs/>
          <w:sz w:val="16"/>
          <w:szCs w:val="16"/>
        </w:rPr>
        <w:t xml:space="preserve">Patients registered in the Trauma Registry of the German Society for Trauma Surgery between 1993 and 2008 with complete data sets who presented with a relevant trauma load (Injury Severity Score of </w:t>
      </w:r>
      <w:r w:rsidRPr="000800F2">
        <w:rPr>
          <w:rFonts w:cs="OurOwn-CJS"/>
          <w:sz w:val="16"/>
          <w:szCs w:val="16"/>
        </w:rPr>
        <w:t>&gt;</w:t>
      </w:r>
      <w:r w:rsidRPr="000800F2">
        <w:rPr>
          <w:rFonts w:cs="HelveticaNeue-BoldCond"/>
          <w:bCs/>
          <w:sz w:val="16"/>
          <w:szCs w:val="16"/>
        </w:rPr>
        <w:t xml:space="preserve">9) and were admitted to an intensive care unit (n </w:t>
      </w:r>
      <w:r w:rsidRPr="000800F2">
        <w:rPr>
          <w:rFonts w:cs="MathematicalPi-Four"/>
          <w:sz w:val="16"/>
          <w:szCs w:val="16"/>
        </w:rPr>
        <w:t xml:space="preserve">_ </w:t>
      </w:r>
      <w:r w:rsidRPr="000800F2">
        <w:rPr>
          <w:rFonts w:cs="HelveticaNeue-BoldCond"/>
          <w:bCs/>
          <w:sz w:val="16"/>
          <w:szCs w:val="16"/>
        </w:rPr>
        <w:t xml:space="preserve">29,829). </w:t>
      </w:r>
    </w:p>
    <w:p w:rsidR="008F61F0" w:rsidRPr="000800F2" w:rsidRDefault="008F61F0" w:rsidP="008F61F0">
      <w:pPr>
        <w:autoSpaceDE w:val="0"/>
        <w:autoSpaceDN w:val="0"/>
        <w:adjustRightInd w:val="0"/>
        <w:spacing w:after="0" w:line="240" w:lineRule="auto"/>
        <w:rPr>
          <w:rFonts w:cs="HelveticaNeue-BoldCond"/>
          <w:bCs/>
          <w:sz w:val="16"/>
          <w:szCs w:val="16"/>
        </w:rPr>
      </w:pPr>
      <w:r w:rsidRPr="000800F2">
        <w:rPr>
          <w:rFonts w:cs="HelveticaNeue-BoldCondObl"/>
          <w:bCs/>
          <w:i/>
          <w:iCs/>
          <w:sz w:val="16"/>
          <w:szCs w:val="16"/>
        </w:rPr>
        <w:t xml:space="preserve">Interventions: </w:t>
      </w:r>
      <w:r w:rsidRPr="000800F2">
        <w:rPr>
          <w:rFonts w:cs="HelveticaNeue-BoldCond"/>
          <w:bCs/>
          <w:sz w:val="16"/>
          <w:szCs w:val="16"/>
        </w:rPr>
        <w:t>None.</w:t>
      </w:r>
    </w:p>
    <w:p w:rsidR="008F61F0" w:rsidRPr="000800F2" w:rsidRDefault="008F61F0" w:rsidP="008F61F0">
      <w:pPr>
        <w:autoSpaceDE w:val="0"/>
        <w:autoSpaceDN w:val="0"/>
        <w:adjustRightInd w:val="0"/>
        <w:spacing w:after="0" w:line="240" w:lineRule="auto"/>
        <w:rPr>
          <w:rFonts w:cs="HelveticaNeue-BoldCond"/>
          <w:bCs/>
          <w:sz w:val="16"/>
          <w:szCs w:val="16"/>
        </w:rPr>
      </w:pPr>
      <w:r w:rsidRPr="000800F2">
        <w:rPr>
          <w:rFonts w:cs="HelveticaNeue-BoldCondObl"/>
          <w:bCs/>
          <w:i/>
          <w:iCs/>
          <w:sz w:val="16"/>
          <w:szCs w:val="16"/>
        </w:rPr>
        <w:t xml:space="preserve">Measurements and Main Results: </w:t>
      </w:r>
      <w:r w:rsidRPr="000800F2">
        <w:rPr>
          <w:rFonts w:cs="HelveticaNeue-BoldCond"/>
          <w:bCs/>
          <w:sz w:val="16"/>
          <w:szCs w:val="16"/>
        </w:rPr>
        <w:t>Over the 16-yr study period, 10.2% (3,042 of 29,829) of multiply injured patients developed sepsis during their hospital course. Annual data were summarized into four subperiods: 1993–1996, 1997–2000, 2001–2004, and 2005–2008. The incidences of sepsis for the four subperiods were 14.8%, 12.5%, 9.4%, and 9.7% (</w:t>
      </w:r>
      <w:r w:rsidRPr="000800F2">
        <w:rPr>
          <w:rFonts w:cs="HelveticaNeue-BoldCondObl"/>
          <w:bCs/>
          <w:i/>
          <w:iCs/>
          <w:sz w:val="16"/>
          <w:szCs w:val="16"/>
        </w:rPr>
        <w:t xml:space="preserve">p </w:t>
      </w:r>
      <w:r w:rsidRPr="000800F2">
        <w:rPr>
          <w:rFonts w:cs="Dutch801BT-Bold"/>
          <w:bCs/>
          <w:sz w:val="16"/>
          <w:szCs w:val="16"/>
        </w:rPr>
        <w:t xml:space="preserve">&lt; </w:t>
      </w:r>
      <w:r w:rsidRPr="000800F2">
        <w:rPr>
          <w:rFonts w:cs="HelveticaNeue-BoldCond"/>
          <w:bCs/>
          <w:sz w:val="16"/>
          <w:szCs w:val="16"/>
        </w:rPr>
        <w:t>.0001), respectively. Inhospital mortality for all trauma patients decreased for the respective</w:t>
      </w:r>
    </w:p>
    <w:p w:rsidR="008F61F0" w:rsidRPr="000800F2" w:rsidRDefault="008F61F0" w:rsidP="008F61F0">
      <w:pPr>
        <w:autoSpaceDE w:val="0"/>
        <w:autoSpaceDN w:val="0"/>
        <w:adjustRightInd w:val="0"/>
        <w:spacing w:after="0" w:line="240" w:lineRule="auto"/>
        <w:rPr>
          <w:rFonts w:cs="Dutch801BT-Bold"/>
          <w:bCs/>
          <w:sz w:val="16"/>
          <w:szCs w:val="16"/>
        </w:rPr>
      </w:pPr>
      <w:r w:rsidRPr="000800F2">
        <w:rPr>
          <w:rFonts w:cs="HelveticaNeue-BoldCond"/>
          <w:bCs/>
          <w:sz w:val="16"/>
          <w:szCs w:val="16"/>
        </w:rPr>
        <w:t xml:space="preserve">subperiods (16.9%, 16.0%, 13.7%, and 11.9%; </w:t>
      </w:r>
      <w:r w:rsidRPr="000800F2">
        <w:rPr>
          <w:rFonts w:cs="HelveticaNeue-BoldCondObl"/>
          <w:bCs/>
          <w:i/>
          <w:iCs/>
          <w:sz w:val="16"/>
          <w:szCs w:val="16"/>
        </w:rPr>
        <w:t xml:space="preserve">p </w:t>
      </w:r>
      <w:r w:rsidRPr="000800F2">
        <w:rPr>
          <w:rFonts w:cs="Dutch801BT-Bold"/>
          <w:bCs/>
          <w:sz w:val="16"/>
          <w:szCs w:val="16"/>
        </w:rPr>
        <w:t xml:space="preserve">&lt; </w:t>
      </w:r>
      <w:r w:rsidRPr="000800F2">
        <w:rPr>
          <w:rFonts w:cs="HelveticaNeue-BoldCond"/>
          <w:bCs/>
          <w:sz w:val="16"/>
          <w:szCs w:val="16"/>
        </w:rPr>
        <w:t>.0001). For the subgroup of patients with sepsis, the mortality</w:t>
      </w:r>
    </w:p>
    <w:p w:rsidR="008F61F0" w:rsidRPr="000800F2" w:rsidRDefault="008F61F0" w:rsidP="008F61F0">
      <w:pPr>
        <w:autoSpaceDE w:val="0"/>
        <w:autoSpaceDN w:val="0"/>
        <w:adjustRightInd w:val="0"/>
        <w:spacing w:after="0" w:line="240" w:lineRule="auto"/>
        <w:rPr>
          <w:rFonts w:cs="HelveticaNeue-BoldCond"/>
          <w:bCs/>
          <w:sz w:val="16"/>
          <w:szCs w:val="16"/>
        </w:rPr>
      </w:pPr>
      <w:r w:rsidRPr="000800F2">
        <w:rPr>
          <w:rFonts w:cs="HelveticaNeue-BoldCond"/>
          <w:bCs/>
          <w:sz w:val="16"/>
          <w:szCs w:val="16"/>
        </w:rPr>
        <w:t>rates were 16.2%, 21.5%, 22.0%, and 18.2% (</w:t>
      </w:r>
      <w:r w:rsidRPr="000800F2">
        <w:rPr>
          <w:rFonts w:cs="HelveticaNeue-BoldCondObl"/>
          <w:bCs/>
          <w:i/>
          <w:iCs/>
          <w:sz w:val="16"/>
          <w:szCs w:val="16"/>
        </w:rPr>
        <w:t xml:space="preserve">p </w:t>
      </w:r>
      <w:r w:rsidRPr="000800F2">
        <w:rPr>
          <w:rFonts w:cs="MathematicalPi-Four"/>
          <w:sz w:val="16"/>
          <w:szCs w:val="16"/>
        </w:rPr>
        <w:t xml:space="preserve">_ </w:t>
      </w:r>
      <w:r w:rsidRPr="000800F2">
        <w:rPr>
          <w:rFonts w:cs="HelveticaNeue-BoldCond"/>
          <w:bCs/>
          <w:sz w:val="16"/>
          <w:szCs w:val="16"/>
        </w:rPr>
        <w:t xml:space="preserve">.054), respectively. The following independent risk factors for posttraumatic sepsis were calculated from a multivariate logistic regression analysis: male gender, age, preexisting medical condition, Glasgow Coma Scale score of </w:t>
      </w:r>
      <w:r w:rsidRPr="000800F2">
        <w:rPr>
          <w:rFonts w:cs="OurOwn-CJS"/>
          <w:sz w:val="16"/>
          <w:szCs w:val="16"/>
        </w:rPr>
        <w:t>&lt;</w:t>
      </w:r>
      <w:r w:rsidRPr="000800F2">
        <w:rPr>
          <w:rFonts w:cs="HelveticaNeue-BoldCond"/>
          <w:bCs/>
          <w:sz w:val="16"/>
          <w:szCs w:val="16"/>
        </w:rPr>
        <w:t xml:space="preserve">8 at scene, Injury Severity Score, Abbreviated Injury ScaleTHORAX score of </w:t>
      </w:r>
      <w:r w:rsidRPr="000800F2">
        <w:rPr>
          <w:rFonts w:cs="OurOwn-CJS"/>
          <w:sz w:val="16"/>
          <w:szCs w:val="16"/>
        </w:rPr>
        <w:t>&gt;</w:t>
      </w:r>
      <w:r w:rsidRPr="000800F2">
        <w:rPr>
          <w:rFonts w:cs="HelveticaNeue-BoldCond"/>
          <w:bCs/>
          <w:sz w:val="16"/>
          <w:szCs w:val="16"/>
        </w:rPr>
        <w:t>3, number of injuries, number of red blood cell units transfused, number of operative</w:t>
      </w:r>
    </w:p>
    <w:p w:rsidR="008F61F0" w:rsidRPr="000800F2" w:rsidRDefault="008F61F0" w:rsidP="008F61F0">
      <w:pPr>
        <w:autoSpaceDE w:val="0"/>
        <w:autoSpaceDN w:val="0"/>
        <w:adjustRightInd w:val="0"/>
        <w:spacing w:after="0" w:line="240" w:lineRule="auto"/>
        <w:rPr>
          <w:rFonts w:cs="HelveticaNeue-BoldCond"/>
          <w:bCs/>
          <w:sz w:val="16"/>
          <w:szCs w:val="16"/>
        </w:rPr>
      </w:pPr>
      <w:r w:rsidRPr="000800F2">
        <w:rPr>
          <w:rFonts w:cs="HelveticaNeue-BoldCond"/>
          <w:bCs/>
          <w:sz w:val="16"/>
          <w:szCs w:val="16"/>
        </w:rPr>
        <w:t>procedures, and laparotomy.</w:t>
      </w:r>
    </w:p>
    <w:p w:rsidR="008F61F0" w:rsidRPr="000800F2" w:rsidRDefault="008F61F0" w:rsidP="008F61F0">
      <w:pPr>
        <w:autoSpaceDE w:val="0"/>
        <w:autoSpaceDN w:val="0"/>
        <w:adjustRightInd w:val="0"/>
        <w:spacing w:after="0" w:line="240" w:lineRule="auto"/>
        <w:rPr>
          <w:rFonts w:cs="HelveticaNeue-BoldCond"/>
          <w:bCs/>
          <w:sz w:val="16"/>
          <w:szCs w:val="16"/>
        </w:rPr>
      </w:pPr>
      <w:r w:rsidRPr="000800F2">
        <w:rPr>
          <w:rFonts w:cs="HelveticaNeue-BoldCondObl"/>
          <w:bCs/>
          <w:i/>
          <w:iCs/>
          <w:sz w:val="16"/>
          <w:szCs w:val="16"/>
        </w:rPr>
        <w:t xml:space="preserve">Conclusions: </w:t>
      </w:r>
      <w:r w:rsidRPr="000800F2">
        <w:rPr>
          <w:rFonts w:cs="HelveticaNeue-BoldCond"/>
          <w:bCs/>
          <w:sz w:val="16"/>
          <w:szCs w:val="16"/>
        </w:rPr>
        <w:t>The incidence of sepsis decreased significantly over the study period; however, in this decade the incidence remained unchanged. Although overall mortality from multiple trauma has declined significantly since 1993, there has been no significant decrease of mortality in the subgroup of septic trauma patients. Thus, sepsis has remained a challenging complication after trauma during the past 2 decades. Recognition of the identified</w:t>
      </w:r>
    </w:p>
    <w:p w:rsidR="008F61F0" w:rsidRPr="008F61F0" w:rsidRDefault="008F61F0" w:rsidP="008F61F0">
      <w:pPr>
        <w:autoSpaceDE w:val="0"/>
        <w:autoSpaceDN w:val="0"/>
        <w:adjustRightInd w:val="0"/>
        <w:spacing w:after="0" w:line="240" w:lineRule="auto"/>
        <w:rPr>
          <w:rFonts w:cs="HelveticaNeue-BoldCond"/>
          <w:bCs/>
          <w:sz w:val="20"/>
          <w:szCs w:val="20"/>
        </w:rPr>
      </w:pPr>
      <w:r w:rsidRPr="000800F2">
        <w:rPr>
          <w:rFonts w:cs="HelveticaNeue-BoldCond"/>
          <w:bCs/>
          <w:sz w:val="16"/>
          <w:szCs w:val="16"/>
        </w:rPr>
        <w:t>risk factors may guide early diagnostic workup and help to reduce septic complications after multiple trauma.</w:t>
      </w:r>
      <w:r w:rsidRPr="008F61F0">
        <w:rPr>
          <w:rFonts w:cs="HelveticaNeue-BoldCond"/>
          <w:bCs/>
          <w:sz w:val="20"/>
          <w:szCs w:val="20"/>
        </w:rPr>
        <w:t xml:space="preserve"> </w:t>
      </w:r>
    </w:p>
    <w:p w:rsidR="00183EAE" w:rsidRDefault="00183EAE" w:rsidP="00183EAE">
      <w:pPr>
        <w:spacing w:after="0" w:line="240" w:lineRule="auto"/>
      </w:pPr>
    </w:p>
    <w:p w:rsidR="00183EAE" w:rsidRPr="000800F2" w:rsidRDefault="00183EAE" w:rsidP="00183EAE">
      <w:pPr>
        <w:spacing w:after="0" w:line="240" w:lineRule="auto"/>
        <w:rPr>
          <w:sz w:val="18"/>
          <w:szCs w:val="18"/>
        </w:rPr>
      </w:pPr>
      <w:r w:rsidRPr="000800F2">
        <w:rPr>
          <w:sz w:val="18"/>
          <w:szCs w:val="18"/>
        </w:rPr>
        <w:t xml:space="preserve">• In this population of patients with polytrauma, there was a 10.2% incidence of sepsis over a 16 year study period </w:t>
      </w:r>
    </w:p>
    <w:p w:rsidR="00183EAE" w:rsidRPr="000800F2" w:rsidRDefault="00183EAE" w:rsidP="00183EAE">
      <w:pPr>
        <w:spacing w:after="0" w:line="240" w:lineRule="auto"/>
        <w:rPr>
          <w:sz w:val="18"/>
          <w:szCs w:val="18"/>
        </w:rPr>
      </w:pPr>
      <w:r w:rsidRPr="000800F2">
        <w:rPr>
          <w:sz w:val="18"/>
          <w:szCs w:val="18"/>
        </w:rPr>
        <w:t>• The overall incidence of sepsis decreased during the study period but the mortality rate for patients with sepsis did not</w:t>
      </w:r>
    </w:p>
    <w:p w:rsidR="00183EAE" w:rsidRPr="000800F2" w:rsidRDefault="00183EAE" w:rsidP="00183EAE">
      <w:pPr>
        <w:spacing w:after="0" w:line="240" w:lineRule="auto"/>
        <w:rPr>
          <w:sz w:val="18"/>
          <w:szCs w:val="18"/>
        </w:rPr>
      </w:pPr>
      <w:r w:rsidRPr="000800F2">
        <w:rPr>
          <w:sz w:val="18"/>
          <w:szCs w:val="18"/>
        </w:rPr>
        <w:t>• Overall mortality in this population of patients was 19.5% for patients with sepsis and 12.5% for patients without sepsis</w:t>
      </w:r>
    </w:p>
    <w:p w:rsidR="00EF450E" w:rsidRPr="000800F2" w:rsidRDefault="00183EAE" w:rsidP="00EF450E">
      <w:pPr>
        <w:autoSpaceDE w:val="0"/>
        <w:autoSpaceDN w:val="0"/>
        <w:adjustRightInd w:val="0"/>
        <w:spacing w:after="0" w:line="240" w:lineRule="auto"/>
        <w:rPr>
          <w:rFonts w:cs="Clearface-Regular"/>
          <w:sz w:val="18"/>
          <w:szCs w:val="18"/>
        </w:rPr>
      </w:pPr>
      <w:r w:rsidRPr="000800F2">
        <w:rPr>
          <w:sz w:val="18"/>
          <w:szCs w:val="18"/>
        </w:rPr>
        <w:t xml:space="preserve">• The highest rate of organ failure observed was for the respiratory system </w:t>
      </w:r>
      <w:r w:rsidR="00EF450E" w:rsidRPr="000800F2">
        <w:rPr>
          <w:sz w:val="18"/>
          <w:szCs w:val="18"/>
        </w:rPr>
        <w:t xml:space="preserve">(63.5%) and </w:t>
      </w:r>
      <w:r w:rsidR="00EF450E" w:rsidRPr="000800F2">
        <w:rPr>
          <w:rFonts w:cs="Clearface-Regular"/>
          <w:sz w:val="18"/>
          <w:szCs w:val="18"/>
        </w:rPr>
        <w:t>the anatomical region</w:t>
      </w:r>
    </w:p>
    <w:p w:rsidR="00183EAE" w:rsidRPr="000800F2" w:rsidRDefault="00EF450E" w:rsidP="00EF450E">
      <w:pPr>
        <w:autoSpaceDE w:val="0"/>
        <w:autoSpaceDN w:val="0"/>
        <w:adjustRightInd w:val="0"/>
        <w:spacing w:after="0" w:line="240" w:lineRule="auto"/>
        <w:rPr>
          <w:rFonts w:cs="Clearface-Regular"/>
          <w:sz w:val="18"/>
          <w:szCs w:val="18"/>
        </w:rPr>
      </w:pPr>
      <w:r w:rsidRPr="000800F2">
        <w:rPr>
          <w:rFonts w:cs="Clearface-Regular"/>
          <w:sz w:val="18"/>
          <w:szCs w:val="18"/>
        </w:rPr>
        <w:t>with the highest predictive value for postinjury sepsis was the thorax.</w:t>
      </w:r>
    </w:p>
    <w:p w:rsidR="00EF450E" w:rsidRPr="000800F2" w:rsidRDefault="00183EAE" w:rsidP="00EF450E">
      <w:pPr>
        <w:autoSpaceDE w:val="0"/>
        <w:autoSpaceDN w:val="0"/>
        <w:adjustRightInd w:val="0"/>
        <w:spacing w:after="0" w:line="240" w:lineRule="auto"/>
        <w:rPr>
          <w:rFonts w:cs="HelveticaNeue-BoldCond"/>
          <w:bCs/>
          <w:sz w:val="18"/>
          <w:szCs w:val="18"/>
        </w:rPr>
      </w:pPr>
      <w:r w:rsidRPr="000800F2">
        <w:rPr>
          <w:sz w:val="18"/>
          <w:szCs w:val="18"/>
        </w:rPr>
        <w:t>•</w:t>
      </w:r>
      <w:r w:rsidR="00EF450E" w:rsidRPr="000800F2">
        <w:rPr>
          <w:sz w:val="18"/>
          <w:szCs w:val="18"/>
        </w:rPr>
        <w:t xml:space="preserve"> Following multivariate logistic regression analysis, the following were independent risk factors for posttraumatic sepsis: </w:t>
      </w:r>
      <w:r w:rsidR="00EF450E" w:rsidRPr="000800F2">
        <w:rPr>
          <w:rFonts w:cs="HelveticaNeue-BoldCond"/>
          <w:bCs/>
          <w:sz w:val="18"/>
          <w:szCs w:val="18"/>
        </w:rPr>
        <w:t xml:space="preserve">male gender, age, preexisting medical condition, Glasgow Coma Scale score of </w:t>
      </w:r>
      <w:r w:rsidR="00EF450E" w:rsidRPr="000800F2">
        <w:rPr>
          <w:rFonts w:cs="OurOwn-CJS"/>
          <w:sz w:val="18"/>
          <w:szCs w:val="18"/>
        </w:rPr>
        <w:t>&lt;</w:t>
      </w:r>
      <w:r w:rsidR="00EF450E" w:rsidRPr="000800F2">
        <w:rPr>
          <w:rFonts w:cs="HelveticaNeue-BoldCond"/>
          <w:bCs/>
          <w:sz w:val="18"/>
          <w:szCs w:val="18"/>
        </w:rPr>
        <w:t>8 at scene, Injury Severity Score, Abbreviated Injury Scale</w:t>
      </w:r>
      <w:r w:rsidR="00EF450E" w:rsidRPr="000800F2">
        <w:rPr>
          <w:rFonts w:cs="HelveticaNeue-BoldCond"/>
          <w:bCs/>
          <w:sz w:val="18"/>
          <w:szCs w:val="18"/>
          <w:vertAlign w:val="subscript"/>
        </w:rPr>
        <w:t>THORAX</w:t>
      </w:r>
      <w:r w:rsidR="00EF450E" w:rsidRPr="000800F2">
        <w:rPr>
          <w:rFonts w:cs="HelveticaNeue-BoldCond"/>
          <w:bCs/>
          <w:sz w:val="18"/>
          <w:szCs w:val="18"/>
        </w:rPr>
        <w:t xml:space="preserve"> score of </w:t>
      </w:r>
      <w:r w:rsidR="00EF450E" w:rsidRPr="000800F2">
        <w:rPr>
          <w:rFonts w:cs="OurOwn-CJS"/>
          <w:sz w:val="18"/>
          <w:szCs w:val="18"/>
        </w:rPr>
        <w:t>&gt;</w:t>
      </w:r>
      <w:r w:rsidR="00EF450E" w:rsidRPr="000800F2">
        <w:rPr>
          <w:rFonts w:cs="HelveticaNeue-BoldCond"/>
          <w:bCs/>
          <w:sz w:val="18"/>
          <w:szCs w:val="18"/>
        </w:rPr>
        <w:t>3, number of injuries, number of red blood cell units transfused, number of operative procedures, and laparotomy.</w:t>
      </w:r>
    </w:p>
    <w:p w:rsidR="00BC3B7F" w:rsidRDefault="00BC3B7F" w:rsidP="00183EAE">
      <w:pPr>
        <w:spacing w:after="0" w:line="240" w:lineRule="auto"/>
        <w:rPr>
          <w:sz w:val="20"/>
          <w:szCs w:val="20"/>
        </w:rPr>
      </w:pPr>
    </w:p>
    <w:p w:rsidR="00C457AA" w:rsidRPr="000800F2" w:rsidRDefault="00C457AA" w:rsidP="00183EAE">
      <w:pPr>
        <w:spacing w:after="0" w:line="240" w:lineRule="auto"/>
        <w:rPr>
          <w:sz w:val="18"/>
          <w:szCs w:val="18"/>
        </w:rPr>
      </w:pPr>
      <w:r w:rsidRPr="000800F2">
        <w:rPr>
          <w:sz w:val="18"/>
          <w:szCs w:val="18"/>
        </w:rPr>
        <w:t>1. In patients with multiple trauma, the anatomic region with the highest predictive value for postinjury sepsis was:</w:t>
      </w:r>
    </w:p>
    <w:p w:rsidR="00C457AA" w:rsidRPr="000800F2" w:rsidRDefault="00C457AA" w:rsidP="00183EAE">
      <w:pPr>
        <w:spacing w:after="0" w:line="240" w:lineRule="auto"/>
        <w:rPr>
          <w:sz w:val="18"/>
          <w:szCs w:val="18"/>
        </w:rPr>
      </w:pPr>
      <w:r w:rsidRPr="000800F2">
        <w:rPr>
          <w:sz w:val="18"/>
          <w:szCs w:val="18"/>
        </w:rPr>
        <w:tab/>
        <w:t>a. Abdomen</w:t>
      </w:r>
    </w:p>
    <w:p w:rsidR="00C457AA" w:rsidRPr="000800F2" w:rsidRDefault="00C457AA" w:rsidP="00183EAE">
      <w:pPr>
        <w:spacing w:after="0" w:line="240" w:lineRule="auto"/>
        <w:rPr>
          <w:sz w:val="18"/>
          <w:szCs w:val="18"/>
        </w:rPr>
      </w:pPr>
      <w:r w:rsidRPr="000800F2">
        <w:rPr>
          <w:sz w:val="18"/>
          <w:szCs w:val="18"/>
        </w:rPr>
        <w:tab/>
        <w:t>b. Head</w:t>
      </w:r>
    </w:p>
    <w:p w:rsidR="00C457AA" w:rsidRPr="000800F2" w:rsidRDefault="00C457AA" w:rsidP="00183EAE">
      <w:pPr>
        <w:spacing w:after="0" w:line="240" w:lineRule="auto"/>
        <w:rPr>
          <w:sz w:val="18"/>
          <w:szCs w:val="18"/>
        </w:rPr>
      </w:pPr>
      <w:r w:rsidRPr="000800F2">
        <w:rPr>
          <w:sz w:val="18"/>
          <w:szCs w:val="18"/>
        </w:rPr>
        <w:tab/>
      </w:r>
      <w:r w:rsidRPr="000800F2">
        <w:rPr>
          <w:sz w:val="18"/>
          <w:szCs w:val="18"/>
          <w:highlight w:val="yellow"/>
        </w:rPr>
        <w:t>c. Thorax</w:t>
      </w:r>
    </w:p>
    <w:p w:rsidR="00C457AA" w:rsidRPr="000800F2" w:rsidRDefault="00C457AA" w:rsidP="00183EAE">
      <w:pPr>
        <w:spacing w:after="0" w:line="240" w:lineRule="auto"/>
        <w:rPr>
          <w:sz w:val="18"/>
          <w:szCs w:val="18"/>
        </w:rPr>
      </w:pPr>
      <w:r w:rsidRPr="000800F2">
        <w:rPr>
          <w:sz w:val="18"/>
          <w:szCs w:val="18"/>
        </w:rPr>
        <w:tab/>
        <w:t>d. Extremities</w:t>
      </w:r>
    </w:p>
    <w:p w:rsidR="00C457AA" w:rsidRPr="000800F2" w:rsidRDefault="00C457AA" w:rsidP="00183EAE">
      <w:pPr>
        <w:spacing w:after="0" w:line="240" w:lineRule="auto"/>
        <w:rPr>
          <w:sz w:val="18"/>
          <w:szCs w:val="18"/>
        </w:rPr>
      </w:pPr>
    </w:p>
    <w:p w:rsidR="00C457AA" w:rsidRPr="000800F2" w:rsidRDefault="00C457AA" w:rsidP="00183EAE">
      <w:pPr>
        <w:spacing w:after="0" w:line="240" w:lineRule="auto"/>
        <w:rPr>
          <w:sz w:val="18"/>
          <w:szCs w:val="18"/>
        </w:rPr>
      </w:pPr>
      <w:r w:rsidRPr="000800F2">
        <w:rPr>
          <w:sz w:val="18"/>
          <w:szCs w:val="18"/>
        </w:rPr>
        <w:t>2. In the 2011 study by Wafaisade et al., the incidence of postinjury sepsis in patients with multiple trauma was:</w:t>
      </w:r>
    </w:p>
    <w:p w:rsidR="00C457AA" w:rsidRPr="000800F2" w:rsidRDefault="00C457AA" w:rsidP="00183EAE">
      <w:pPr>
        <w:spacing w:after="0" w:line="240" w:lineRule="auto"/>
        <w:rPr>
          <w:sz w:val="18"/>
          <w:szCs w:val="18"/>
        </w:rPr>
      </w:pPr>
      <w:r w:rsidRPr="000800F2">
        <w:rPr>
          <w:sz w:val="18"/>
          <w:szCs w:val="18"/>
        </w:rPr>
        <w:tab/>
        <w:t>a. 7%</w:t>
      </w:r>
    </w:p>
    <w:p w:rsidR="00C457AA" w:rsidRPr="000800F2" w:rsidRDefault="00C457AA" w:rsidP="00183EAE">
      <w:pPr>
        <w:spacing w:after="0" w:line="240" w:lineRule="auto"/>
        <w:rPr>
          <w:sz w:val="18"/>
          <w:szCs w:val="18"/>
        </w:rPr>
      </w:pPr>
      <w:r w:rsidRPr="000800F2">
        <w:rPr>
          <w:sz w:val="18"/>
          <w:szCs w:val="18"/>
        </w:rPr>
        <w:tab/>
      </w:r>
      <w:r w:rsidRPr="000800F2">
        <w:rPr>
          <w:sz w:val="18"/>
          <w:szCs w:val="18"/>
          <w:highlight w:val="yellow"/>
        </w:rPr>
        <w:t>b. 10%</w:t>
      </w:r>
    </w:p>
    <w:p w:rsidR="00C457AA" w:rsidRPr="000800F2" w:rsidRDefault="00C457AA" w:rsidP="00183EAE">
      <w:pPr>
        <w:spacing w:after="0" w:line="240" w:lineRule="auto"/>
        <w:rPr>
          <w:sz w:val="18"/>
          <w:szCs w:val="18"/>
        </w:rPr>
      </w:pPr>
      <w:r w:rsidRPr="000800F2">
        <w:rPr>
          <w:sz w:val="18"/>
          <w:szCs w:val="18"/>
        </w:rPr>
        <w:tab/>
        <w:t>c. 15%</w:t>
      </w:r>
    </w:p>
    <w:p w:rsidR="00C457AA" w:rsidRPr="000800F2" w:rsidRDefault="00C457AA" w:rsidP="00183EAE">
      <w:pPr>
        <w:spacing w:after="0" w:line="240" w:lineRule="auto"/>
        <w:rPr>
          <w:sz w:val="18"/>
          <w:szCs w:val="18"/>
        </w:rPr>
      </w:pPr>
      <w:r w:rsidRPr="000800F2">
        <w:rPr>
          <w:sz w:val="18"/>
          <w:szCs w:val="18"/>
        </w:rPr>
        <w:tab/>
        <w:t>d. 20%</w:t>
      </w:r>
    </w:p>
    <w:p w:rsidR="00C457AA" w:rsidRPr="000800F2" w:rsidRDefault="00C457AA" w:rsidP="00183EAE">
      <w:pPr>
        <w:spacing w:after="0" w:line="240" w:lineRule="auto"/>
        <w:rPr>
          <w:sz w:val="18"/>
          <w:szCs w:val="18"/>
        </w:rPr>
      </w:pPr>
    </w:p>
    <w:p w:rsidR="00C457AA" w:rsidRPr="000800F2" w:rsidRDefault="00C457AA" w:rsidP="00183EAE">
      <w:pPr>
        <w:spacing w:after="0" w:line="240" w:lineRule="auto"/>
        <w:rPr>
          <w:sz w:val="18"/>
          <w:szCs w:val="18"/>
        </w:rPr>
      </w:pPr>
      <w:r w:rsidRPr="000800F2">
        <w:rPr>
          <w:sz w:val="18"/>
          <w:szCs w:val="18"/>
        </w:rPr>
        <w:t>3. Which of the following statements is true regarding postinjury sepsis in human multiple trauma patients?</w:t>
      </w:r>
    </w:p>
    <w:p w:rsidR="00C457AA" w:rsidRPr="000800F2" w:rsidRDefault="00C457AA" w:rsidP="00183EAE">
      <w:pPr>
        <w:spacing w:after="0" w:line="240" w:lineRule="auto"/>
        <w:rPr>
          <w:sz w:val="18"/>
          <w:szCs w:val="18"/>
        </w:rPr>
      </w:pPr>
      <w:r w:rsidRPr="000800F2">
        <w:rPr>
          <w:sz w:val="18"/>
          <w:szCs w:val="18"/>
        </w:rPr>
        <w:tab/>
        <w:t>a. Sepsis was more likely in female patients</w:t>
      </w:r>
    </w:p>
    <w:p w:rsidR="00C457AA" w:rsidRPr="000800F2" w:rsidRDefault="00C457AA" w:rsidP="00183EAE">
      <w:pPr>
        <w:spacing w:after="0" w:line="240" w:lineRule="auto"/>
        <w:rPr>
          <w:sz w:val="18"/>
          <w:szCs w:val="18"/>
        </w:rPr>
      </w:pPr>
      <w:r w:rsidRPr="000800F2">
        <w:rPr>
          <w:sz w:val="18"/>
          <w:szCs w:val="18"/>
        </w:rPr>
        <w:tab/>
        <w:t>b. Sepsis was more likely if a patient received multiple plasma transfusions</w:t>
      </w:r>
    </w:p>
    <w:p w:rsidR="00C457AA" w:rsidRPr="000800F2" w:rsidRDefault="00C457AA" w:rsidP="00183EAE">
      <w:pPr>
        <w:spacing w:after="0" w:line="240" w:lineRule="auto"/>
        <w:rPr>
          <w:sz w:val="18"/>
          <w:szCs w:val="18"/>
        </w:rPr>
      </w:pPr>
      <w:r w:rsidRPr="000800F2">
        <w:rPr>
          <w:sz w:val="18"/>
          <w:szCs w:val="18"/>
        </w:rPr>
        <w:tab/>
        <w:t>c. The overall mortality rate for septic patients decreased during the study period</w:t>
      </w:r>
    </w:p>
    <w:p w:rsidR="00C457AA" w:rsidRDefault="00C457AA" w:rsidP="00183EAE">
      <w:pPr>
        <w:spacing w:after="0" w:line="240" w:lineRule="auto"/>
        <w:rPr>
          <w:sz w:val="18"/>
          <w:szCs w:val="18"/>
        </w:rPr>
      </w:pPr>
      <w:r w:rsidRPr="000800F2">
        <w:rPr>
          <w:sz w:val="18"/>
          <w:szCs w:val="18"/>
        </w:rPr>
        <w:tab/>
        <w:t>d</w:t>
      </w:r>
      <w:r w:rsidRPr="000800F2">
        <w:rPr>
          <w:sz w:val="18"/>
          <w:szCs w:val="18"/>
          <w:highlight w:val="yellow"/>
        </w:rPr>
        <w:t>. The overall incidence of sepsis decreased during the study period</w:t>
      </w:r>
    </w:p>
    <w:p w:rsidR="00BD3185" w:rsidRDefault="00BD3185" w:rsidP="00183EAE">
      <w:pPr>
        <w:spacing w:after="0" w:line="240" w:lineRule="auto"/>
        <w:rPr>
          <w:sz w:val="18"/>
          <w:szCs w:val="18"/>
        </w:rPr>
      </w:pPr>
    </w:p>
    <w:p w:rsidR="00BD3185" w:rsidRPr="00BD3185" w:rsidRDefault="00BD3185" w:rsidP="00BD3185">
      <w:pPr>
        <w:autoSpaceDE w:val="0"/>
        <w:autoSpaceDN w:val="0"/>
        <w:adjustRightInd w:val="0"/>
        <w:spacing w:after="0" w:line="240" w:lineRule="auto"/>
        <w:rPr>
          <w:rFonts w:cs="HelveticaNeue-BoldCond"/>
          <w:bCs/>
          <w:sz w:val="19"/>
          <w:szCs w:val="19"/>
        </w:rPr>
      </w:pPr>
      <w:r w:rsidRPr="00BD3185">
        <w:rPr>
          <w:rFonts w:cs="HelveticaNeue-BoldCond"/>
          <w:bCs/>
          <w:sz w:val="19"/>
          <w:szCs w:val="19"/>
        </w:rPr>
        <w:lastRenderedPageBreak/>
        <w:t>Crit</w:t>
      </w:r>
      <w:r>
        <w:rPr>
          <w:rFonts w:cs="HelveticaNeue-BoldCond"/>
          <w:bCs/>
          <w:sz w:val="19"/>
          <w:szCs w:val="19"/>
        </w:rPr>
        <w:t xml:space="preserve"> </w:t>
      </w:r>
      <w:r w:rsidRPr="00BD3185">
        <w:rPr>
          <w:rFonts w:cs="HelveticaNeue-BoldCond"/>
          <w:bCs/>
          <w:sz w:val="19"/>
          <w:szCs w:val="19"/>
        </w:rPr>
        <w:t>Care Med 2011; 39:629–635</w:t>
      </w:r>
      <w:r>
        <w:rPr>
          <w:rFonts w:ascii="Clearface-Bold" w:hAnsi="Clearface-Bold" w:cs="Clearface-Bold"/>
          <w:b/>
          <w:bCs/>
          <w:sz w:val="36"/>
          <w:szCs w:val="36"/>
        </w:rPr>
        <w:t xml:space="preserve"> </w:t>
      </w:r>
    </w:p>
    <w:p w:rsidR="00BD3185" w:rsidRPr="00BD3185" w:rsidRDefault="00BD3185" w:rsidP="00BD3185">
      <w:pPr>
        <w:autoSpaceDE w:val="0"/>
        <w:autoSpaceDN w:val="0"/>
        <w:adjustRightInd w:val="0"/>
        <w:spacing w:after="0" w:line="240" w:lineRule="auto"/>
        <w:jc w:val="center"/>
        <w:rPr>
          <w:rFonts w:cs="Clearface-Bold"/>
          <w:b/>
          <w:bCs/>
          <w:sz w:val="24"/>
          <w:szCs w:val="24"/>
        </w:rPr>
      </w:pPr>
      <w:r w:rsidRPr="00BD3185">
        <w:rPr>
          <w:rFonts w:cs="Clearface-Bold"/>
          <w:b/>
          <w:bCs/>
          <w:sz w:val="24"/>
          <w:szCs w:val="24"/>
        </w:rPr>
        <w:t>Impaired endothelium-dependent vasodilatation is a novel</w:t>
      </w:r>
    </w:p>
    <w:p w:rsidR="00BD3185" w:rsidRPr="00BD3185" w:rsidRDefault="00BD3185" w:rsidP="00BD3185">
      <w:pPr>
        <w:autoSpaceDE w:val="0"/>
        <w:autoSpaceDN w:val="0"/>
        <w:adjustRightInd w:val="0"/>
        <w:spacing w:after="0" w:line="240" w:lineRule="auto"/>
        <w:jc w:val="center"/>
        <w:rPr>
          <w:rFonts w:cs="Clearface-Bold"/>
          <w:b/>
          <w:bCs/>
          <w:sz w:val="24"/>
          <w:szCs w:val="24"/>
        </w:rPr>
      </w:pPr>
      <w:r w:rsidRPr="00BD3185">
        <w:rPr>
          <w:rFonts w:cs="Clearface-Bold"/>
          <w:b/>
          <w:bCs/>
          <w:sz w:val="24"/>
          <w:szCs w:val="24"/>
        </w:rPr>
        <w:t>predictor of mortality in intensive care*</w:t>
      </w:r>
    </w:p>
    <w:p w:rsidR="00BD3185" w:rsidRPr="00BD3185" w:rsidRDefault="00BD3185" w:rsidP="00BD3185">
      <w:pPr>
        <w:autoSpaceDE w:val="0"/>
        <w:autoSpaceDN w:val="0"/>
        <w:adjustRightInd w:val="0"/>
        <w:spacing w:after="0" w:line="240" w:lineRule="auto"/>
        <w:jc w:val="center"/>
        <w:rPr>
          <w:rFonts w:cs="HelveticaNeue-Condensed"/>
          <w:sz w:val="20"/>
          <w:szCs w:val="20"/>
        </w:rPr>
      </w:pPr>
      <w:r w:rsidRPr="00BD3185">
        <w:rPr>
          <w:rFonts w:cs="HelveticaNeue-Condensed"/>
          <w:sz w:val="20"/>
          <w:szCs w:val="20"/>
        </w:rPr>
        <w:t>Martin J. Duffy, MB; Brian A. Mullan, MD; Thelma R. Craig, MB; Murali Shyamsundar, MB;</w:t>
      </w:r>
    </w:p>
    <w:p w:rsidR="00BD3185" w:rsidRPr="00BD3185" w:rsidRDefault="00BD3185" w:rsidP="00BD3185">
      <w:pPr>
        <w:autoSpaceDE w:val="0"/>
        <w:autoSpaceDN w:val="0"/>
        <w:adjustRightInd w:val="0"/>
        <w:spacing w:after="0" w:line="240" w:lineRule="auto"/>
        <w:jc w:val="center"/>
        <w:rPr>
          <w:rFonts w:cs="HelveticaNeue-Condensed"/>
          <w:sz w:val="20"/>
          <w:szCs w:val="20"/>
        </w:rPr>
      </w:pPr>
      <w:r w:rsidRPr="00BD3185">
        <w:rPr>
          <w:rFonts w:cs="HelveticaNeue-Condensed"/>
          <w:sz w:val="20"/>
          <w:szCs w:val="20"/>
        </w:rPr>
        <w:t>Rob E. MacSweeney, MB; Gillian Thompson; Michael Stevenson; Daniel F. McAuley, MD</w:t>
      </w:r>
    </w:p>
    <w:p w:rsidR="00BD3185" w:rsidRDefault="00BD3185" w:rsidP="00BD3185">
      <w:pPr>
        <w:autoSpaceDE w:val="0"/>
        <w:autoSpaceDN w:val="0"/>
        <w:adjustRightInd w:val="0"/>
        <w:spacing w:after="0" w:line="240" w:lineRule="auto"/>
        <w:rPr>
          <w:rFonts w:ascii="HelveticaNeue-BoldCond" w:hAnsi="HelveticaNeue-BoldCond" w:cs="HelveticaNeue-BoldCond"/>
          <w:b/>
          <w:bCs/>
          <w:sz w:val="16"/>
          <w:szCs w:val="16"/>
        </w:rPr>
      </w:pPr>
    </w:p>
    <w:p w:rsidR="00BD3185" w:rsidRPr="00BD3185" w:rsidRDefault="00BD3185" w:rsidP="00BD3185">
      <w:pPr>
        <w:autoSpaceDE w:val="0"/>
        <w:autoSpaceDN w:val="0"/>
        <w:adjustRightInd w:val="0"/>
        <w:spacing w:after="0" w:line="240" w:lineRule="auto"/>
        <w:rPr>
          <w:rFonts w:cs="HelveticaNeue-BoldCond"/>
          <w:bCs/>
          <w:sz w:val="16"/>
          <w:szCs w:val="16"/>
        </w:rPr>
      </w:pPr>
      <w:r w:rsidRPr="00BD3185">
        <w:rPr>
          <w:rFonts w:cs="HelveticaNeue-BoldCondObl"/>
          <w:bCs/>
          <w:i/>
          <w:iCs/>
          <w:sz w:val="16"/>
          <w:szCs w:val="16"/>
        </w:rPr>
        <w:t xml:space="preserve">Objective: </w:t>
      </w:r>
      <w:r w:rsidRPr="00BD3185">
        <w:rPr>
          <w:rFonts w:cs="HelveticaNeue-BoldCond"/>
          <w:bCs/>
          <w:sz w:val="16"/>
          <w:szCs w:val="16"/>
        </w:rPr>
        <w:t>Endothelial function may be impaired in critical</w:t>
      </w:r>
      <w:r>
        <w:rPr>
          <w:rFonts w:cs="HelveticaNeue-BoldCond"/>
          <w:bCs/>
          <w:sz w:val="16"/>
          <w:szCs w:val="16"/>
        </w:rPr>
        <w:t xml:space="preserve"> </w:t>
      </w:r>
      <w:r w:rsidRPr="00BD3185">
        <w:rPr>
          <w:rFonts w:cs="HelveticaNeue-BoldCond"/>
          <w:bCs/>
          <w:sz w:val="16"/>
          <w:szCs w:val="16"/>
        </w:rPr>
        <w:t>illness. We hypothesized that impaired endothelium-dependent</w:t>
      </w:r>
      <w:r>
        <w:rPr>
          <w:rFonts w:cs="HelveticaNeue-BoldCond"/>
          <w:bCs/>
          <w:sz w:val="16"/>
          <w:szCs w:val="16"/>
        </w:rPr>
        <w:t xml:space="preserve"> </w:t>
      </w:r>
      <w:r w:rsidRPr="00BD3185">
        <w:rPr>
          <w:rFonts w:cs="HelveticaNeue-BoldCond"/>
          <w:bCs/>
          <w:sz w:val="16"/>
          <w:szCs w:val="16"/>
        </w:rPr>
        <w:t>vasodilatation is a predictor of mortality in critically ill patients.</w:t>
      </w:r>
    </w:p>
    <w:p w:rsidR="00BD3185" w:rsidRPr="00BD3185" w:rsidRDefault="00BD3185" w:rsidP="00BD3185">
      <w:pPr>
        <w:autoSpaceDE w:val="0"/>
        <w:autoSpaceDN w:val="0"/>
        <w:adjustRightInd w:val="0"/>
        <w:spacing w:after="0" w:line="240" w:lineRule="auto"/>
        <w:rPr>
          <w:rFonts w:cs="HelveticaNeue-BoldCond"/>
          <w:bCs/>
          <w:sz w:val="16"/>
          <w:szCs w:val="16"/>
        </w:rPr>
      </w:pPr>
      <w:r w:rsidRPr="00BD3185">
        <w:rPr>
          <w:rFonts w:cs="HelveticaNeue-BoldCondObl"/>
          <w:bCs/>
          <w:i/>
          <w:iCs/>
          <w:sz w:val="16"/>
          <w:szCs w:val="16"/>
        </w:rPr>
        <w:t xml:space="preserve">Design: </w:t>
      </w:r>
      <w:r w:rsidRPr="00BD3185">
        <w:rPr>
          <w:rFonts w:cs="HelveticaNeue-BoldCond"/>
          <w:bCs/>
          <w:sz w:val="16"/>
          <w:szCs w:val="16"/>
        </w:rPr>
        <w:t>Prospective observational cohort study.</w:t>
      </w:r>
    </w:p>
    <w:p w:rsidR="00BD3185" w:rsidRPr="00BD3185" w:rsidRDefault="00BD3185" w:rsidP="00BD3185">
      <w:pPr>
        <w:autoSpaceDE w:val="0"/>
        <w:autoSpaceDN w:val="0"/>
        <w:adjustRightInd w:val="0"/>
        <w:spacing w:after="0" w:line="240" w:lineRule="auto"/>
        <w:rPr>
          <w:rFonts w:cs="HelveticaNeue-BoldCond"/>
          <w:bCs/>
          <w:sz w:val="16"/>
          <w:szCs w:val="16"/>
        </w:rPr>
      </w:pPr>
      <w:r w:rsidRPr="00BD3185">
        <w:rPr>
          <w:rFonts w:cs="HelveticaNeue-BoldCondObl"/>
          <w:bCs/>
          <w:i/>
          <w:iCs/>
          <w:sz w:val="16"/>
          <w:szCs w:val="16"/>
        </w:rPr>
        <w:t xml:space="preserve">Setting: </w:t>
      </w:r>
      <w:r w:rsidRPr="00BD3185">
        <w:rPr>
          <w:rFonts w:cs="HelveticaNeue-BoldCond"/>
          <w:bCs/>
          <w:sz w:val="16"/>
          <w:szCs w:val="16"/>
        </w:rPr>
        <w:t>Seventeen-bed adult intensive care unit in a tertiary</w:t>
      </w:r>
      <w:r>
        <w:rPr>
          <w:rFonts w:cs="HelveticaNeue-BoldCond"/>
          <w:bCs/>
          <w:sz w:val="16"/>
          <w:szCs w:val="16"/>
        </w:rPr>
        <w:t xml:space="preserve"> </w:t>
      </w:r>
      <w:r w:rsidRPr="00BD3185">
        <w:rPr>
          <w:rFonts w:cs="HelveticaNeue-BoldCond"/>
          <w:bCs/>
          <w:sz w:val="16"/>
          <w:szCs w:val="16"/>
        </w:rPr>
        <w:t>referral university teaching hospital.</w:t>
      </w:r>
    </w:p>
    <w:p w:rsidR="00BD3185" w:rsidRPr="00BD3185" w:rsidRDefault="00BD3185" w:rsidP="00BD3185">
      <w:pPr>
        <w:autoSpaceDE w:val="0"/>
        <w:autoSpaceDN w:val="0"/>
        <w:adjustRightInd w:val="0"/>
        <w:spacing w:after="0" w:line="240" w:lineRule="auto"/>
        <w:rPr>
          <w:rFonts w:cs="HelveticaNeue-BoldCond"/>
          <w:bCs/>
          <w:sz w:val="16"/>
          <w:szCs w:val="16"/>
        </w:rPr>
      </w:pPr>
      <w:r w:rsidRPr="00BD3185">
        <w:rPr>
          <w:rFonts w:cs="HelveticaNeue-BoldCondObl"/>
          <w:bCs/>
          <w:i/>
          <w:iCs/>
          <w:sz w:val="16"/>
          <w:szCs w:val="16"/>
        </w:rPr>
        <w:t xml:space="preserve">Patients: </w:t>
      </w:r>
      <w:r w:rsidRPr="00BD3185">
        <w:rPr>
          <w:rFonts w:cs="HelveticaNeue-BoldCond"/>
          <w:bCs/>
          <w:sz w:val="16"/>
          <w:szCs w:val="16"/>
        </w:rPr>
        <w:t>Patients were recruited within 24 hrs of admission to</w:t>
      </w:r>
      <w:r>
        <w:rPr>
          <w:rFonts w:cs="HelveticaNeue-BoldCond"/>
          <w:bCs/>
          <w:sz w:val="16"/>
          <w:szCs w:val="16"/>
        </w:rPr>
        <w:t xml:space="preserve"> </w:t>
      </w:r>
      <w:r w:rsidRPr="00BD3185">
        <w:rPr>
          <w:rFonts w:cs="HelveticaNeue-BoldCond"/>
          <w:bCs/>
          <w:sz w:val="16"/>
          <w:szCs w:val="16"/>
        </w:rPr>
        <w:t>the intensive care unit.</w:t>
      </w:r>
    </w:p>
    <w:p w:rsidR="00BD3185" w:rsidRPr="00BD3185" w:rsidRDefault="00BD3185" w:rsidP="00BD3185">
      <w:pPr>
        <w:autoSpaceDE w:val="0"/>
        <w:autoSpaceDN w:val="0"/>
        <w:adjustRightInd w:val="0"/>
        <w:spacing w:after="0" w:line="240" w:lineRule="auto"/>
        <w:rPr>
          <w:rFonts w:cs="HelveticaNeue-BoldCond"/>
          <w:bCs/>
          <w:sz w:val="16"/>
          <w:szCs w:val="16"/>
        </w:rPr>
      </w:pPr>
      <w:r w:rsidRPr="00BD3185">
        <w:rPr>
          <w:rFonts w:cs="HelveticaNeue-BoldCondObl"/>
          <w:bCs/>
          <w:i/>
          <w:iCs/>
          <w:sz w:val="16"/>
          <w:szCs w:val="16"/>
        </w:rPr>
        <w:t xml:space="preserve">Interventions: </w:t>
      </w:r>
      <w:r w:rsidRPr="00BD3185">
        <w:rPr>
          <w:rFonts w:cs="HelveticaNeue-BoldCond"/>
          <w:bCs/>
          <w:sz w:val="16"/>
          <w:szCs w:val="16"/>
        </w:rPr>
        <w:t>The SphygmoCor Mx system was used to derive</w:t>
      </w:r>
      <w:r>
        <w:rPr>
          <w:rFonts w:cs="HelveticaNeue-BoldCond"/>
          <w:bCs/>
          <w:sz w:val="16"/>
          <w:szCs w:val="16"/>
        </w:rPr>
        <w:t xml:space="preserve"> </w:t>
      </w:r>
      <w:r w:rsidRPr="00BD3185">
        <w:rPr>
          <w:rFonts w:cs="HelveticaNeue-BoldCond"/>
          <w:bCs/>
          <w:sz w:val="16"/>
          <w:szCs w:val="16"/>
        </w:rPr>
        <w:t>the aortic augmentation index from radial artery pulse pressure</w:t>
      </w:r>
      <w:r>
        <w:rPr>
          <w:rFonts w:cs="HelveticaNeue-BoldCond"/>
          <w:bCs/>
          <w:sz w:val="16"/>
          <w:szCs w:val="16"/>
        </w:rPr>
        <w:t xml:space="preserve"> </w:t>
      </w:r>
      <w:r w:rsidRPr="00BD3185">
        <w:rPr>
          <w:rFonts w:cs="HelveticaNeue-BoldCond"/>
          <w:bCs/>
          <w:sz w:val="16"/>
          <w:szCs w:val="16"/>
        </w:rPr>
        <w:t>waveforms. Endothelium-dependent vasodilatation was calculated</w:t>
      </w:r>
      <w:r>
        <w:rPr>
          <w:rFonts w:cs="HelveticaNeue-BoldCond"/>
          <w:bCs/>
          <w:sz w:val="16"/>
          <w:szCs w:val="16"/>
        </w:rPr>
        <w:t xml:space="preserve"> </w:t>
      </w:r>
      <w:r w:rsidRPr="00BD3185">
        <w:rPr>
          <w:rFonts w:cs="HelveticaNeue-BoldCond"/>
          <w:bCs/>
          <w:sz w:val="16"/>
          <w:szCs w:val="16"/>
        </w:rPr>
        <w:t>as the change in augmentation index in response to an</w:t>
      </w:r>
    </w:p>
    <w:p w:rsidR="00BD3185" w:rsidRPr="00BD3185" w:rsidRDefault="00BD3185" w:rsidP="00BD3185">
      <w:pPr>
        <w:autoSpaceDE w:val="0"/>
        <w:autoSpaceDN w:val="0"/>
        <w:adjustRightInd w:val="0"/>
        <w:spacing w:after="0" w:line="240" w:lineRule="auto"/>
        <w:rPr>
          <w:rFonts w:cs="HelveticaNeue-BoldCond"/>
          <w:bCs/>
          <w:sz w:val="16"/>
          <w:szCs w:val="16"/>
        </w:rPr>
      </w:pPr>
      <w:r w:rsidRPr="00BD3185">
        <w:rPr>
          <w:rFonts w:cs="HelveticaNeue-BoldCond"/>
          <w:bCs/>
          <w:sz w:val="16"/>
          <w:szCs w:val="16"/>
        </w:rPr>
        <w:t>endothelium-dependent vasodilator (salbutamol).</w:t>
      </w:r>
    </w:p>
    <w:p w:rsidR="00BD3185" w:rsidRPr="00BD3185" w:rsidRDefault="00BD3185" w:rsidP="00BD3185">
      <w:pPr>
        <w:autoSpaceDE w:val="0"/>
        <w:autoSpaceDN w:val="0"/>
        <w:adjustRightInd w:val="0"/>
        <w:spacing w:after="0" w:line="240" w:lineRule="auto"/>
        <w:rPr>
          <w:rFonts w:cs="HelveticaNeue-BoldCond"/>
          <w:bCs/>
          <w:sz w:val="16"/>
          <w:szCs w:val="16"/>
        </w:rPr>
      </w:pPr>
      <w:r w:rsidRPr="00BD3185">
        <w:rPr>
          <w:rFonts w:cs="HelveticaNeue-BoldCondObl"/>
          <w:bCs/>
          <w:i/>
          <w:iCs/>
          <w:sz w:val="16"/>
          <w:szCs w:val="16"/>
        </w:rPr>
        <w:t xml:space="preserve">Measurements and Main Results: </w:t>
      </w:r>
      <w:r w:rsidRPr="00BD3185">
        <w:rPr>
          <w:rFonts w:cs="HelveticaNeue-BoldCond"/>
          <w:bCs/>
          <w:sz w:val="16"/>
          <w:szCs w:val="16"/>
        </w:rPr>
        <w:t>Demographics, severity of</w:t>
      </w:r>
      <w:r>
        <w:rPr>
          <w:rFonts w:cs="HelveticaNeue-BoldCond"/>
          <w:bCs/>
          <w:sz w:val="16"/>
          <w:szCs w:val="16"/>
        </w:rPr>
        <w:t xml:space="preserve"> </w:t>
      </w:r>
      <w:r w:rsidRPr="00BD3185">
        <w:rPr>
          <w:rFonts w:cs="HelveticaNeue-BoldCond"/>
          <w:bCs/>
          <w:sz w:val="16"/>
          <w:szCs w:val="16"/>
        </w:rPr>
        <w:t>illness scores, and physiological parameters were collected. Statistically</w:t>
      </w:r>
      <w:r>
        <w:rPr>
          <w:rFonts w:cs="HelveticaNeue-BoldCond"/>
          <w:bCs/>
          <w:sz w:val="16"/>
          <w:szCs w:val="16"/>
        </w:rPr>
        <w:t xml:space="preserve"> </w:t>
      </w:r>
      <w:r w:rsidRPr="00BD3185">
        <w:rPr>
          <w:rFonts w:cs="HelveticaNeue-BoldCond"/>
          <w:bCs/>
          <w:sz w:val="16"/>
          <w:szCs w:val="16"/>
        </w:rPr>
        <w:t>significant predictors of mortality identified using single</w:t>
      </w:r>
      <w:r>
        <w:rPr>
          <w:rFonts w:cs="HelveticaNeue-BoldCond"/>
          <w:bCs/>
          <w:sz w:val="16"/>
          <w:szCs w:val="16"/>
        </w:rPr>
        <w:t xml:space="preserve"> </w:t>
      </w:r>
      <w:r w:rsidRPr="00BD3185">
        <w:rPr>
          <w:rFonts w:cs="HelveticaNeue-BoldCond"/>
          <w:bCs/>
          <w:sz w:val="16"/>
          <w:szCs w:val="16"/>
        </w:rPr>
        <w:t>regressor analysis were entered into a multiple logistic regression</w:t>
      </w:r>
      <w:r w:rsidR="00512C13">
        <w:rPr>
          <w:rFonts w:cs="HelveticaNeue-BoldCond"/>
          <w:bCs/>
          <w:sz w:val="16"/>
          <w:szCs w:val="16"/>
        </w:rPr>
        <w:t xml:space="preserve"> </w:t>
      </w:r>
      <w:r w:rsidRPr="00BD3185">
        <w:rPr>
          <w:rFonts w:cs="HelveticaNeue-BoldCond"/>
          <w:bCs/>
          <w:sz w:val="16"/>
          <w:szCs w:val="16"/>
        </w:rPr>
        <w:t>model. Receiver operator characteristic curves were generated.</w:t>
      </w:r>
      <w:r w:rsidR="00512C13">
        <w:rPr>
          <w:rFonts w:cs="HelveticaNeue-BoldCond"/>
          <w:bCs/>
          <w:sz w:val="16"/>
          <w:szCs w:val="16"/>
        </w:rPr>
        <w:t xml:space="preserve"> </w:t>
      </w:r>
      <w:r w:rsidRPr="00BD3185">
        <w:rPr>
          <w:rFonts w:cs="HelveticaNeue-BoldCond"/>
          <w:bCs/>
          <w:sz w:val="16"/>
          <w:szCs w:val="16"/>
        </w:rPr>
        <w:t>Ninety-four patients completed the study. There were 80 survivors</w:t>
      </w:r>
      <w:r w:rsidR="00512C13">
        <w:rPr>
          <w:rFonts w:cs="HelveticaNeue-BoldCond"/>
          <w:bCs/>
          <w:sz w:val="16"/>
          <w:szCs w:val="16"/>
        </w:rPr>
        <w:t xml:space="preserve"> </w:t>
      </w:r>
      <w:r w:rsidRPr="00BD3185">
        <w:rPr>
          <w:rFonts w:cs="HelveticaNeue-BoldCond"/>
          <w:bCs/>
          <w:sz w:val="16"/>
          <w:szCs w:val="16"/>
        </w:rPr>
        <w:t>and 14 nonsurvivors. The Simplified Acute Physiology Score II, the</w:t>
      </w:r>
      <w:r w:rsidR="00512C13">
        <w:rPr>
          <w:rFonts w:cs="HelveticaNeue-BoldCond"/>
          <w:bCs/>
          <w:sz w:val="16"/>
          <w:szCs w:val="16"/>
        </w:rPr>
        <w:t xml:space="preserve"> </w:t>
      </w:r>
      <w:r w:rsidRPr="00BD3185">
        <w:rPr>
          <w:rFonts w:cs="HelveticaNeue-BoldCond"/>
          <w:bCs/>
          <w:sz w:val="16"/>
          <w:szCs w:val="16"/>
        </w:rPr>
        <w:t>Sequential Organ Failure Assessment score, leukocyte count, and</w:t>
      </w:r>
      <w:r w:rsidR="00512C13">
        <w:rPr>
          <w:rFonts w:cs="HelveticaNeue-BoldCond"/>
          <w:bCs/>
          <w:sz w:val="16"/>
          <w:szCs w:val="16"/>
        </w:rPr>
        <w:t xml:space="preserve"> </w:t>
      </w:r>
      <w:r w:rsidRPr="00BD3185">
        <w:rPr>
          <w:rFonts w:cs="HelveticaNeue-BoldCond"/>
          <w:bCs/>
          <w:sz w:val="16"/>
          <w:szCs w:val="16"/>
        </w:rPr>
        <w:t>endothelium-dependent vasodilatation conferred an increased</w:t>
      </w:r>
      <w:r w:rsidR="00512C13">
        <w:rPr>
          <w:rFonts w:cs="HelveticaNeue-BoldCond"/>
          <w:bCs/>
          <w:sz w:val="16"/>
          <w:szCs w:val="16"/>
        </w:rPr>
        <w:t xml:space="preserve"> </w:t>
      </w:r>
      <w:r w:rsidRPr="00BD3185">
        <w:rPr>
          <w:rFonts w:cs="HelveticaNeue-BoldCond"/>
          <w:bCs/>
          <w:sz w:val="16"/>
          <w:szCs w:val="16"/>
        </w:rPr>
        <w:t>risk of mortality. In logistic regression analysis, endothelium</w:t>
      </w:r>
      <w:r w:rsidR="00512C13">
        <w:rPr>
          <w:rFonts w:cs="HelveticaNeue-BoldCond"/>
          <w:bCs/>
          <w:sz w:val="16"/>
          <w:szCs w:val="16"/>
        </w:rPr>
        <w:t>-</w:t>
      </w:r>
      <w:r w:rsidRPr="00BD3185">
        <w:rPr>
          <w:rFonts w:cs="HelveticaNeue-BoldCond"/>
          <w:bCs/>
          <w:sz w:val="16"/>
          <w:szCs w:val="16"/>
        </w:rPr>
        <w:t>dependent</w:t>
      </w:r>
      <w:r w:rsidR="00512C13">
        <w:rPr>
          <w:rFonts w:cs="HelveticaNeue-BoldCond"/>
          <w:bCs/>
          <w:sz w:val="16"/>
          <w:szCs w:val="16"/>
        </w:rPr>
        <w:t xml:space="preserve"> </w:t>
      </w:r>
      <w:r w:rsidRPr="00BD3185">
        <w:rPr>
          <w:rFonts w:cs="HelveticaNeue-BoldCond"/>
          <w:bCs/>
          <w:sz w:val="16"/>
          <w:szCs w:val="16"/>
        </w:rPr>
        <w:t>vasodilatation was the only predictor of mortality with</w:t>
      </w:r>
      <w:r w:rsidR="00512C13">
        <w:rPr>
          <w:rFonts w:cs="HelveticaNeue-BoldCond"/>
          <w:bCs/>
          <w:sz w:val="16"/>
          <w:szCs w:val="16"/>
        </w:rPr>
        <w:t xml:space="preserve"> </w:t>
      </w:r>
      <w:r w:rsidRPr="00BD3185">
        <w:rPr>
          <w:rFonts w:cs="HelveticaNeue-BoldCond"/>
          <w:bCs/>
          <w:sz w:val="16"/>
          <w:szCs w:val="16"/>
        </w:rPr>
        <w:t>an adjusted odds ratio of 26.1 (95% confidence interval [CI],</w:t>
      </w:r>
      <w:r w:rsidR="00512C13">
        <w:rPr>
          <w:rFonts w:cs="HelveticaNeue-BoldCond"/>
          <w:bCs/>
          <w:sz w:val="16"/>
          <w:szCs w:val="16"/>
        </w:rPr>
        <w:t xml:space="preserve"> </w:t>
      </w:r>
      <w:r w:rsidRPr="00BD3185">
        <w:rPr>
          <w:rFonts w:cs="HelveticaNeue-BoldCond"/>
          <w:bCs/>
          <w:sz w:val="16"/>
          <w:szCs w:val="16"/>
        </w:rPr>
        <w:t>4.3–159.5). An endothelium-dependent vasodilatation value of</w:t>
      </w:r>
    </w:p>
    <w:p w:rsidR="00BD3185" w:rsidRPr="00BD3185" w:rsidRDefault="00BD3185" w:rsidP="00BD3185">
      <w:pPr>
        <w:autoSpaceDE w:val="0"/>
        <w:autoSpaceDN w:val="0"/>
        <w:adjustRightInd w:val="0"/>
        <w:spacing w:after="0" w:line="240" w:lineRule="auto"/>
        <w:rPr>
          <w:rFonts w:cs="HelveticaNeue-BoldCond"/>
          <w:bCs/>
          <w:sz w:val="16"/>
          <w:szCs w:val="16"/>
        </w:rPr>
      </w:pPr>
      <w:r w:rsidRPr="00BD3185">
        <w:rPr>
          <w:rFonts w:cs="HelveticaNeue-BoldCond"/>
          <w:bCs/>
          <w:sz w:val="16"/>
          <w:szCs w:val="16"/>
        </w:rPr>
        <w:t>0.5% or less predicted intensive care unit mortality with a sensitivity</w:t>
      </w:r>
      <w:r w:rsidR="00512C13">
        <w:rPr>
          <w:rFonts w:cs="HelveticaNeue-BoldCond"/>
          <w:bCs/>
          <w:sz w:val="16"/>
          <w:szCs w:val="16"/>
        </w:rPr>
        <w:t xml:space="preserve"> </w:t>
      </w:r>
      <w:r w:rsidRPr="00BD3185">
        <w:rPr>
          <w:rFonts w:cs="HelveticaNeue-BoldCond"/>
          <w:bCs/>
          <w:sz w:val="16"/>
          <w:szCs w:val="16"/>
        </w:rPr>
        <w:t>of 79% (CI, 59–88%) and specificity of 98% (CI, 94–99%).</w:t>
      </w:r>
    </w:p>
    <w:p w:rsidR="00BD3185" w:rsidRPr="00512C13" w:rsidRDefault="00BD3185" w:rsidP="00BD3185">
      <w:pPr>
        <w:autoSpaceDE w:val="0"/>
        <w:autoSpaceDN w:val="0"/>
        <w:adjustRightInd w:val="0"/>
        <w:spacing w:after="0" w:line="240" w:lineRule="auto"/>
        <w:rPr>
          <w:rFonts w:cs="HelveticaNeue-BoldCond"/>
          <w:bCs/>
          <w:sz w:val="16"/>
          <w:szCs w:val="16"/>
        </w:rPr>
      </w:pPr>
      <w:r w:rsidRPr="00BD3185">
        <w:rPr>
          <w:rFonts w:cs="HelveticaNeue-BoldCondObl"/>
          <w:bCs/>
          <w:i/>
          <w:iCs/>
          <w:sz w:val="16"/>
          <w:szCs w:val="16"/>
        </w:rPr>
        <w:t xml:space="preserve">Conclusions: In vivo </w:t>
      </w:r>
      <w:r w:rsidRPr="00BD3185">
        <w:rPr>
          <w:rFonts w:cs="HelveticaNeue-BoldCond"/>
          <w:bCs/>
          <w:sz w:val="16"/>
          <w:szCs w:val="16"/>
        </w:rPr>
        <w:t>bedside assessment of endothelium-dependent</w:t>
      </w:r>
      <w:r w:rsidR="00512C13">
        <w:rPr>
          <w:rFonts w:cs="HelveticaNeue-BoldCond"/>
          <w:bCs/>
          <w:sz w:val="16"/>
          <w:szCs w:val="16"/>
        </w:rPr>
        <w:t xml:space="preserve"> </w:t>
      </w:r>
      <w:r w:rsidRPr="00BD3185">
        <w:rPr>
          <w:rFonts w:cs="HelveticaNeue-BoldCond"/>
          <w:bCs/>
          <w:sz w:val="16"/>
          <w:szCs w:val="16"/>
        </w:rPr>
        <w:t>vasodilatation is an independent predictor of mortality in</w:t>
      </w:r>
      <w:r w:rsidR="00512C13">
        <w:rPr>
          <w:rFonts w:cs="HelveticaNeue-BoldCond"/>
          <w:bCs/>
          <w:sz w:val="16"/>
          <w:szCs w:val="16"/>
        </w:rPr>
        <w:t xml:space="preserve"> </w:t>
      </w:r>
      <w:r w:rsidRPr="00BD3185">
        <w:rPr>
          <w:rFonts w:cs="HelveticaNeue-BoldCond"/>
          <w:bCs/>
          <w:sz w:val="16"/>
          <w:szCs w:val="16"/>
        </w:rPr>
        <w:t>the critically ill. We have shown it to be superior to other validated</w:t>
      </w:r>
      <w:r w:rsidR="00512C13">
        <w:rPr>
          <w:rFonts w:cs="HelveticaNeue-BoldCond"/>
          <w:bCs/>
          <w:sz w:val="16"/>
          <w:szCs w:val="16"/>
        </w:rPr>
        <w:t xml:space="preserve"> </w:t>
      </w:r>
      <w:r w:rsidRPr="00BD3185">
        <w:rPr>
          <w:rFonts w:cs="HelveticaNeue-BoldCond"/>
          <w:bCs/>
          <w:sz w:val="16"/>
          <w:szCs w:val="16"/>
        </w:rPr>
        <w:t>severity of illness scores with high sensitivity and specificity.</w:t>
      </w:r>
      <w:r>
        <w:rPr>
          <w:rFonts w:ascii="HelveticaNeue-BoldCond" w:hAnsi="HelveticaNeue-BoldCond" w:cs="HelveticaNeue-BoldCond"/>
          <w:b/>
          <w:bCs/>
          <w:sz w:val="19"/>
          <w:szCs w:val="19"/>
        </w:rPr>
        <w:t xml:space="preserve"> </w:t>
      </w:r>
    </w:p>
    <w:p w:rsidR="001964D9" w:rsidRDefault="001964D9" w:rsidP="001964D9">
      <w:pPr>
        <w:autoSpaceDE w:val="0"/>
        <w:autoSpaceDN w:val="0"/>
        <w:adjustRightInd w:val="0"/>
        <w:spacing w:after="0" w:line="240" w:lineRule="auto"/>
        <w:rPr>
          <w:sz w:val="18"/>
          <w:szCs w:val="18"/>
        </w:rPr>
      </w:pPr>
    </w:p>
    <w:p w:rsidR="001964D9" w:rsidRPr="001964D9" w:rsidRDefault="001964D9" w:rsidP="001964D9">
      <w:pPr>
        <w:autoSpaceDE w:val="0"/>
        <w:autoSpaceDN w:val="0"/>
        <w:adjustRightInd w:val="0"/>
        <w:spacing w:after="0" w:line="240" w:lineRule="auto"/>
        <w:rPr>
          <w:rFonts w:cs="Clearface-Regular"/>
          <w:sz w:val="18"/>
          <w:szCs w:val="18"/>
        </w:rPr>
      </w:pPr>
      <w:r>
        <w:rPr>
          <w:sz w:val="18"/>
          <w:szCs w:val="18"/>
        </w:rPr>
        <w:t>•</w:t>
      </w:r>
      <w:r w:rsidRPr="001964D9">
        <w:rPr>
          <w:rFonts w:cs="Clearface-Regular"/>
          <w:sz w:val="18"/>
          <w:szCs w:val="18"/>
        </w:rPr>
        <w:t>Endothelial</w:t>
      </w:r>
      <w:r>
        <w:rPr>
          <w:rFonts w:cs="Clearface-Regular"/>
          <w:sz w:val="18"/>
          <w:szCs w:val="18"/>
        </w:rPr>
        <w:t xml:space="preserve"> </w:t>
      </w:r>
      <w:r w:rsidRPr="001964D9">
        <w:rPr>
          <w:rFonts w:cs="Clearface-Regular"/>
          <w:sz w:val="18"/>
          <w:szCs w:val="18"/>
        </w:rPr>
        <w:t>dysfunction characterized by impaired</w:t>
      </w:r>
      <w:r>
        <w:rPr>
          <w:rFonts w:cs="Clearface-Regular"/>
          <w:sz w:val="18"/>
          <w:szCs w:val="18"/>
        </w:rPr>
        <w:t xml:space="preserve"> </w:t>
      </w:r>
      <w:r w:rsidRPr="001964D9">
        <w:rPr>
          <w:rFonts w:cs="Clearface-Regular"/>
          <w:sz w:val="18"/>
          <w:szCs w:val="18"/>
        </w:rPr>
        <w:t>endothelium-dependent vasodilatation</w:t>
      </w:r>
      <w:r>
        <w:rPr>
          <w:rFonts w:cs="Clearface-Regular"/>
          <w:sz w:val="18"/>
          <w:szCs w:val="18"/>
        </w:rPr>
        <w:t xml:space="preserve"> </w:t>
      </w:r>
      <w:r w:rsidRPr="001964D9">
        <w:rPr>
          <w:rFonts w:cs="Clearface-Regular"/>
          <w:sz w:val="18"/>
          <w:szCs w:val="18"/>
        </w:rPr>
        <w:t>(EDV) has been shown to occur early in a</w:t>
      </w:r>
      <w:r>
        <w:rPr>
          <w:rFonts w:cs="Clearface-Regular"/>
          <w:sz w:val="18"/>
          <w:szCs w:val="18"/>
        </w:rPr>
        <w:t xml:space="preserve"> </w:t>
      </w:r>
      <w:r w:rsidRPr="001964D9">
        <w:rPr>
          <w:rFonts w:cs="Clearface-Regular"/>
          <w:sz w:val="18"/>
          <w:szCs w:val="18"/>
        </w:rPr>
        <w:t>number of disease states, including acute</w:t>
      </w:r>
      <w:r>
        <w:rPr>
          <w:rFonts w:cs="Clearface-Regular"/>
          <w:sz w:val="18"/>
          <w:szCs w:val="18"/>
        </w:rPr>
        <w:t xml:space="preserve"> </w:t>
      </w:r>
      <w:r w:rsidRPr="001964D9">
        <w:rPr>
          <w:rFonts w:cs="Clearface-Regular"/>
          <w:sz w:val="18"/>
          <w:szCs w:val="18"/>
        </w:rPr>
        <w:t>systemic inflammation (2), and is predictive</w:t>
      </w:r>
      <w:r>
        <w:rPr>
          <w:rFonts w:cs="Clearface-Regular"/>
          <w:sz w:val="18"/>
          <w:szCs w:val="18"/>
        </w:rPr>
        <w:t xml:space="preserve"> </w:t>
      </w:r>
      <w:r w:rsidRPr="001964D9">
        <w:rPr>
          <w:rFonts w:cs="Clearface-Regular"/>
          <w:sz w:val="18"/>
          <w:szCs w:val="18"/>
        </w:rPr>
        <w:t>of outcome in patients with cardiovascular</w:t>
      </w:r>
      <w:r>
        <w:rPr>
          <w:rFonts w:cs="Clearface-Regular"/>
          <w:sz w:val="18"/>
          <w:szCs w:val="18"/>
        </w:rPr>
        <w:t xml:space="preserve"> </w:t>
      </w:r>
      <w:r w:rsidRPr="001964D9">
        <w:rPr>
          <w:rFonts w:cs="Clearface-Regular"/>
          <w:sz w:val="18"/>
          <w:szCs w:val="18"/>
        </w:rPr>
        <w:t>disease</w:t>
      </w:r>
    </w:p>
    <w:p w:rsidR="001964D9" w:rsidRDefault="001964D9" w:rsidP="001964D9">
      <w:pPr>
        <w:autoSpaceDE w:val="0"/>
        <w:autoSpaceDN w:val="0"/>
        <w:adjustRightInd w:val="0"/>
        <w:spacing w:after="0" w:line="240" w:lineRule="auto"/>
        <w:rPr>
          <w:rFonts w:cs="Clearface-Regular"/>
          <w:sz w:val="18"/>
          <w:szCs w:val="18"/>
        </w:rPr>
      </w:pPr>
      <w:r>
        <w:rPr>
          <w:sz w:val="18"/>
          <w:szCs w:val="18"/>
        </w:rPr>
        <w:t xml:space="preserve">• </w:t>
      </w:r>
      <w:r w:rsidRPr="001964D9">
        <w:rPr>
          <w:rFonts w:cs="Clearface-Regular"/>
          <w:sz w:val="18"/>
          <w:szCs w:val="18"/>
        </w:rPr>
        <w:t>Pulse wave analysis (PWA) is a</w:t>
      </w:r>
      <w:r>
        <w:rPr>
          <w:rFonts w:cs="Clearface-Regular"/>
          <w:sz w:val="18"/>
          <w:szCs w:val="18"/>
        </w:rPr>
        <w:t xml:space="preserve"> </w:t>
      </w:r>
      <w:r w:rsidRPr="001964D9">
        <w:rPr>
          <w:rFonts w:cs="Clearface-Regular"/>
          <w:sz w:val="18"/>
          <w:szCs w:val="18"/>
        </w:rPr>
        <w:t>relatively new technique that uses a validated</w:t>
      </w:r>
      <w:r>
        <w:rPr>
          <w:rFonts w:cs="Clearface-Regular"/>
          <w:sz w:val="18"/>
          <w:szCs w:val="18"/>
        </w:rPr>
        <w:t xml:space="preserve"> </w:t>
      </w:r>
      <w:r w:rsidRPr="001964D9">
        <w:rPr>
          <w:rFonts w:cs="Clearface-Regular"/>
          <w:sz w:val="18"/>
          <w:szCs w:val="18"/>
        </w:rPr>
        <w:t>transfer function to calculate the</w:t>
      </w:r>
      <w:r>
        <w:rPr>
          <w:rFonts w:cs="Clearface-Regular"/>
          <w:sz w:val="18"/>
          <w:szCs w:val="18"/>
        </w:rPr>
        <w:t xml:space="preserve"> </w:t>
      </w:r>
      <w:r w:rsidRPr="001964D9">
        <w:rPr>
          <w:rFonts w:cs="Clearface-Regular"/>
          <w:sz w:val="18"/>
          <w:szCs w:val="18"/>
        </w:rPr>
        <w:t>central aortic waveform from a peripheral</w:t>
      </w:r>
      <w:r>
        <w:rPr>
          <w:rFonts w:cs="Clearface-Regular"/>
          <w:sz w:val="18"/>
          <w:szCs w:val="18"/>
        </w:rPr>
        <w:t xml:space="preserve"> arterial pressure waveform (radial artery is this study).</w:t>
      </w:r>
    </w:p>
    <w:p w:rsidR="001964D9" w:rsidRDefault="001964D9" w:rsidP="001964D9">
      <w:pPr>
        <w:autoSpaceDE w:val="0"/>
        <w:autoSpaceDN w:val="0"/>
        <w:adjustRightInd w:val="0"/>
        <w:spacing w:after="0" w:line="240" w:lineRule="auto"/>
        <w:rPr>
          <w:rFonts w:cs="Clearface-Regular"/>
          <w:sz w:val="18"/>
          <w:szCs w:val="18"/>
        </w:rPr>
      </w:pPr>
      <w:r>
        <w:rPr>
          <w:rFonts w:cs="Clearface-Regular"/>
          <w:noProof/>
          <w:sz w:val="18"/>
          <w:szCs w:val="18"/>
        </w:rPr>
        <w:drawing>
          <wp:inline distT="0" distB="0" distL="0" distR="0">
            <wp:extent cx="2858262" cy="1829653"/>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858677" cy="1829919"/>
                    </a:xfrm>
                    <a:prstGeom prst="rect">
                      <a:avLst/>
                    </a:prstGeom>
                    <a:noFill/>
                    <a:ln w="9525">
                      <a:noFill/>
                      <a:miter lim="800000"/>
                      <a:headEnd/>
                      <a:tailEnd/>
                    </a:ln>
                  </pic:spPr>
                </pic:pic>
              </a:graphicData>
            </a:graphic>
          </wp:inline>
        </w:drawing>
      </w:r>
      <w:r w:rsidR="001233E7">
        <w:rPr>
          <w:rFonts w:cs="Clearface-Regular"/>
          <w:noProof/>
          <w:sz w:val="18"/>
          <w:szCs w:val="18"/>
        </w:rPr>
        <w:drawing>
          <wp:inline distT="0" distB="0" distL="0" distR="0">
            <wp:extent cx="2664689" cy="1834896"/>
            <wp:effectExtent l="19050" t="0" r="2311"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663577" cy="1834130"/>
                    </a:xfrm>
                    <a:prstGeom prst="rect">
                      <a:avLst/>
                    </a:prstGeom>
                    <a:noFill/>
                    <a:ln w="9525">
                      <a:noFill/>
                      <a:miter lim="800000"/>
                      <a:headEnd/>
                      <a:tailEnd/>
                    </a:ln>
                  </pic:spPr>
                </pic:pic>
              </a:graphicData>
            </a:graphic>
          </wp:inline>
        </w:drawing>
      </w:r>
    </w:p>
    <w:p w:rsidR="001964D9" w:rsidRDefault="001964D9" w:rsidP="001964D9">
      <w:pPr>
        <w:autoSpaceDE w:val="0"/>
        <w:autoSpaceDN w:val="0"/>
        <w:adjustRightInd w:val="0"/>
        <w:spacing w:after="0" w:line="240" w:lineRule="auto"/>
        <w:rPr>
          <w:rFonts w:cs="Clearface-Regular"/>
          <w:sz w:val="18"/>
          <w:szCs w:val="18"/>
        </w:rPr>
      </w:pPr>
    </w:p>
    <w:p w:rsidR="001964D9" w:rsidRDefault="001964D9" w:rsidP="00183EAE">
      <w:pPr>
        <w:spacing w:after="0" w:line="240" w:lineRule="auto"/>
        <w:rPr>
          <w:sz w:val="18"/>
          <w:szCs w:val="18"/>
        </w:rPr>
      </w:pPr>
      <w:r>
        <w:rPr>
          <w:sz w:val="18"/>
          <w:szCs w:val="18"/>
        </w:rPr>
        <w:t>•</w:t>
      </w:r>
      <w:r w:rsidR="00EC6229">
        <w:rPr>
          <w:sz w:val="18"/>
          <w:szCs w:val="18"/>
        </w:rPr>
        <w:t xml:space="preserve"> </w:t>
      </w:r>
      <w:r w:rsidR="00B618B6">
        <w:rPr>
          <w:sz w:val="18"/>
          <w:szCs w:val="18"/>
        </w:rPr>
        <w:t>The mortality rate in this population of critically ill patients was 15% (14/94)</w:t>
      </w:r>
    </w:p>
    <w:p w:rsidR="001964D9" w:rsidRDefault="001964D9" w:rsidP="00183EAE">
      <w:pPr>
        <w:spacing w:after="0" w:line="240" w:lineRule="auto"/>
        <w:rPr>
          <w:sz w:val="18"/>
          <w:szCs w:val="18"/>
        </w:rPr>
      </w:pPr>
      <w:r>
        <w:rPr>
          <w:sz w:val="18"/>
          <w:szCs w:val="18"/>
        </w:rPr>
        <w:t>•</w:t>
      </w:r>
      <w:r w:rsidR="00B618B6">
        <w:rPr>
          <w:sz w:val="18"/>
          <w:szCs w:val="18"/>
        </w:rPr>
        <w:t xml:space="preserve"> The following variables were associated with an increased risk of mortality: SAPS II score, SOFA, increased leukocyte count, EDV</w:t>
      </w:r>
    </w:p>
    <w:p w:rsidR="00B618B6" w:rsidRDefault="001964D9" w:rsidP="00B618B6">
      <w:pPr>
        <w:autoSpaceDE w:val="0"/>
        <w:autoSpaceDN w:val="0"/>
        <w:adjustRightInd w:val="0"/>
        <w:spacing w:after="0" w:line="240" w:lineRule="auto"/>
        <w:rPr>
          <w:rFonts w:cs="HelveticaNeue-BoldCond"/>
          <w:bCs/>
          <w:sz w:val="18"/>
          <w:szCs w:val="18"/>
        </w:rPr>
      </w:pPr>
      <w:r>
        <w:rPr>
          <w:sz w:val="18"/>
          <w:szCs w:val="18"/>
        </w:rPr>
        <w:t>•</w:t>
      </w:r>
      <w:r w:rsidR="00B618B6">
        <w:rPr>
          <w:sz w:val="18"/>
          <w:szCs w:val="18"/>
        </w:rPr>
        <w:t xml:space="preserve"> Following logistical regression analysis, EDV was the only predictor of mortality.  </w:t>
      </w:r>
      <w:r w:rsidR="00B618B6" w:rsidRPr="00B618B6">
        <w:rPr>
          <w:rFonts w:cs="HelveticaNeue-BoldCond"/>
          <w:bCs/>
          <w:sz w:val="18"/>
          <w:szCs w:val="18"/>
        </w:rPr>
        <w:t xml:space="preserve">An </w:t>
      </w:r>
      <w:r w:rsidR="00B618B6">
        <w:rPr>
          <w:rFonts w:cs="HelveticaNeue-BoldCond"/>
          <w:bCs/>
          <w:sz w:val="18"/>
          <w:szCs w:val="18"/>
        </w:rPr>
        <w:t>EDV</w:t>
      </w:r>
      <w:r w:rsidR="00B618B6" w:rsidRPr="00B618B6">
        <w:rPr>
          <w:rFonts w:cs="HelveticaNeue-BoldCond"/>
          <w:bCs/>
          <w:sz w:val="18"/>
          <w:szCs w:val="18"/>
        </w:rPr>
        <w:t xml:space="preserve"> value of</w:t>
      </w:r>
      <w:r w:rsidR="00B618B6">
        <w:rPr>
          <w:rFonts w:cs="HelveticaNeue-BoldCond"/>
          <w:bCs/>
          <w:sz w:val="18"/>
          <w:szCs w:val="18"/>
        </w:rPr>
        <w:t xml:space="preserve"> </w:t>
      </w:r>
      <w:r w:rsidR="00B618B6" w:rsidRPr="00B618B6">
        <w:rPr>
          <w:rFonts w:cs="HelveticaNeue-BoldCond"/>
          <w:bCs/>
          <w:sz w:val="18"/>
          <w:szCs w:val="18"/>
        </w:rPr>
        <w:t>0.5% or less predicted intensive care unit mortality with a sensitivity of 79% (CI, 59–88%) and specificity of 98% (CI, 94–99%).</w:t>
      </w:r>
    </w:p>
    <w:p w:rsidR="00B618B6" w:rsidRDefault="00B618B6" w:rsidP="00B618B6">
      <w:pPr>
        <w:autoSpaceDE w:val="0"/>
        <w:autoSpaceDN w:val="0"/>
        <w:adjustRightInd w:val="0"/>
        <w:spacing w:after="0" w:line="240" w:lineRule="auto"/>
        <w:rPr>
          <w:sz w:val="18"/>
          <w:szCs w:val="18"/>
        </w:rPr>
      </w:pPr>
      <w:r>
        <w:rPr>
          <w:sz w:val="18"/>
          <w:szCs w:val="18"/>
        </w:rPr>
        <w:t xml:space="preserve">• The most prevalent condition (of those associated with endothelial dysfunction) in this patient population was hypertension (28%) and 16% of patients were receiving </w:t>
      </w:r>
      <w:r>
        <w:rPr>
          <w:rFonts w:ascii="Century Schoolbook" w:hAnsi="Century Schoolbook"/>
          <w:sz w:val="18"/>
          <w:szCs w:val="18"/>
        </w:rPr>
        <w:t>β</w:t>
      </w:r>
      <w:r>
        <w:rPr>
          <w:sz w:val="18"/>
          <w:szCs w:val="18"/>
        </w:rPr>
        <w:t xml:space="preserve">-blockers </w:t>
      </w:r>
    </w:p>
    <w:p w:rsidR="009A799E" w:rsidRDefault="009A799E" w:rsidP="00B618B6">
      <w:pPr>
        <w:autoSpaceDE w:val="0"/>
        <w:autoSpaceDN w:val="0"/>
        <w:adjustRightInd w:val="0"/>
        <w:spacing w:after="0" w:line="240" w:lineRule="auto"/>
        <w:rPr>
          <w:sz w:val="18"/>
          <w:szCs w:val="18"/>
        </w:rPr>
      </w:pPr>
    </w:p>
    <w:p w:rsidR="009A799E" w:rsidRDefault="009A799E" w:rsidP="00B618B6">
      <w:pPr>
        <w:autoSpaceDE w:val="0"/>
        <w:autoSpaceDN w:val="0"/>
        <w:adjustRightInd w:val="0"/>
        <w:spacing w:after="0" w:line="240" w:lineRule="auto"/>
        <w:rPr>
          <w:sz w:val="18"/>
          <w:szCs w:val="18"/>
        </w:rPr>
      </w:pPr>
      <w:r>
        <w:rPr>
          <w:sz w:val="18"/>
          <w:szCs w:val="18"/>
        </w:rPr>
        <w:t>1. According to the 2011 study by Duffy et al., in critically ill patients, which of the following was an independent predictor of mortality?</w:t>
      </w:r>
    </w:p>
    <w:p w:rsidR="009A799E" w:rsidRDefault="009A799E" w:rsidP="00B618B6">
      <w:pPr>
        <w:autoSpaceDE w:val="0"/>
        <w:autoSpaceDN w:val="0"/>
        <w:adjustRightInd w:val="0"/>
        <w:spacing w:after="0" w:line="240" w:lineRule="auto"/>
        <w:rPr>
          <w:sz w:val="18"/>
          <w:szCs w:val="18"/>
        </w:rPr>
      </w:pPr>
      <w:r>
        <w:rPr>
          <w:sz w:val="18"/>
          <w:szCs w:val="18"/>
        </w:rPr>
        <w:tab/>
        <w:t>a. SOFA score</w:t>
      </w:r>
    </w:p>
    <w:p w:rsidR="009A799E" w:rsidRDefault="009A799E" w:rsidP="00B618B6">
      <w:pPr>
        <w:autoSpaceDE w:val="0"/>
        <w:autoSpaceDN w:val="0"/>
        <w:adjustRightInd w:val="0"/>
        <w:spacing w:after="0" w:line="240" w:lineRule="auto"/>
        <w:rPr>
          <w:sz w:val="18"/>
          <w:szCs w:val="18"/>
        </w:rPr>
      </w:pPr>
      <w:r>
        <w:rPr>
          <w:sz w:val="18"/>
          <w:szCs w:val="18"/>
        </w:rPr>
        <w:tab/>
      </w:r>
      <w:r w:rsidRPr="009A799E">
        <w:rPr>
          <w:sz w:val="18"/>
          <w:szCs w:val="18"/>
          <w:highlight w:val="yellow"/>
        </w:rPr>
        <w:t>b. endothelium-dependent vasodilation</w:t>
      </w:r>
    </w:p>
    <w:p w:rsidR="009A799E" w:rsidRDefault="009A799E" w:rsidP="00B618B6">
      <w:pPr>
        <w:autoSpaceDE w:val="0"/>
        <w:autoSpaceDN w:val="0"/>
        <w:adjustRightInd w:val="0"/>
        <w:spacing w:after="0" w:line="240" w:lineRule="auto"/>
        <w:rPr>
          <w:sz w:val="18"/>
          <w:szCs w:val="18"/>
        </w:rPr>
      </w:pPr>
      <w:r>
        <w:rPr>
          <w:sz w:val="18"/>
          <w:szCs w:val="18"/>
        </w:rPr>
        <w:tab/>
        <w:t>c. SAPS II score</w:t>
      </w:r>
    </w:p>
    <w:p w:rsidR="009A799E" w:rsidRDefault="009A799E" w:rsidP="00B618B6">
      <w:pPr>
        <w:autoSpaceDE w:val="0"/>
        <w:autoSpaceDN w:val="0"/>
        <w:adjustRightInd w:val="0"/>
        <w:spacing w:after="0" w:line="240" w:lineRule="auto"/>
        <w:rPr>
          <w:sz w:val="18"/>
          <w:szCs w:val="18"/>
        </w:rPr>
      </w:pPr>
      <w:r>
        <w:rPr>
          <w:sz w:val="18"/>
          <w:szCs w:val="18"/>
        </w:rPr>
        <w:tab/>
        <w:t>d. Leukocyte count</w:t>
      </w:r>
    </w:p>
    <w:p w:rsidR="009A799E" w:rsidRDefault="009A799E" w:rsidP="00B618B6">
      <w:pPr>
        <w:autoSpaceDE w:val="0"/>
        <w:autoSpaceDN w:val="0"/>
        <w:adjustRightInd w:val="0"/>
        <w:spacing w:after="0" w:line="240" w:lineRule="auto"/>
        <w:rPr>
          <w:sz w:val="18"/>
          <w:szCs w:val="18"/>
        </w:rPr>
      </w:pPr>
    </w:p>
    <w:p w:rsidR="009A799E" w:rsidRDefault="009A799E" w:rsidP="00B618B6">
      <w:pPr>
        <w:autoSpaceDE w:val="0"/>
        <w:autoSpaceDN w:val="0"/>
        <w:adjustRightInd w:val="0"/>
        <w:spacing w:after="0" w:line="240" w:lineRule="auto"/>
        <w:rPr>
          <w:sz w:val="18"/>
          <w:szCs w:val="18"/>
        </w:rPr>
      </w:pPr>
      <w:r>
        <w:rPr>
          <w:sz w:val="18"/>
          <w:szCs w:val="18"/>
        </w:rPr>
        <w:lastRenderedPageBreak/>
        <w:t>2. In critically ill patients, an endothelium-dependent vasodilation value of _____ or less was predictive of intensive care unit mortality?</w:t>
      </w:r>
    </w:p>
    <w:p w:rsidR="009A799E" w:rsidRDefault="009A799E" w:rsidP="00B618B6">
      <w:pPr>
        <w:autoSpaceDE w:val="0"/>
        <w:autoSpaceDN w:val="0"/>
        <w:adjustRightInd w:val="0"/>
        <w:spacing w:after="0" w:line="240" w:lineRule="auto"/>
        <w:rPr>
          <w:sz w:val="18"/>
          <w:szCs w:val="18"/>
        </w:rPr>
      </w:pPr>
      <w:r>
        <w:rPr>
          <w:sz w:val="18"/>
          <w:szCs w:val="18"/>
        </w:rPr>
        <w:tab/>
        <w:t>a. 0.1%</w:t>
      </w:r>
    </w:p>
    <w:p w:rsidR="009A799E" w:rsidRDefault="009A799E" w:rsidP="00B618B6">
      <w:pPr>
        <w:autoSpaceDE w:val="0"/>
        <w:autoSpaceDN w:val="0"/>
        <w:adjustRightInd w:val="0"/>
        <w:spacing w:after="0" w:line="240" w:lineRule="auto"/>
        <w:rPr>
          <w:sz w:val="18"/>
          <w:szCs w:val="18"/>
        </w:rPr>
      </w:pPr>
      <w:r>
        <w:rPr>
          <w:sz w:val="18"/>
          <w:szCs w:val="18"/>
        </w:rPr>
        <w:tab/>
      </w:r>
      <w:r w:rsidRPr="009A799E">
        <w:rPr>
          <w:sz w:val="18"/>
          <w:szCs w:val="18"/>
          <w:highlight w:val="yellow"/>
        </w:rPr>
        <w:t>b. 0.5%</w:t>
      </w:r>
    </w:p>
    <w:p w:rsidR="009A799E" w:rsidRDefault="009A799E" w:rsidP="00B618B6">
      <w:pPr>
        <w:autoSpaceDE w:val="0"/>
        <w:autoSpaceDN w:val="0"/>
        <w:adjustRightInd w:val="0"/>
        <w:spacing w:after="0" w:line="240" w:lineRule="auto"/>
        <w:rPr>
          <w:sz w:val="18"/>
          <w:szCs w:val="18"/>
        </w:rPr>
      </w:pPr>
      <w:r>
        <w:rPr>
          <w:sz w:val="18"/>
          <w:szCs w:val="18"/>
        </w:rPr>
        <w:tab/>
        <w:t>c. 1%</w:t>
      </w:r>
    </w:p>
    <w:p w:rsidR="009A799E" w:rsidRPr="00B618B6" w:rsidRDefault="009A799E" w:rsidP="00B618B6">
      <w:pPr>
        <w:autoSpaceDE w:val="0"/>
        <w:autoSpaceDN w:val="0"/>
        <w:adjustRightInd w:val="0"/>
        <w:spacing w:after="0" w:line="240" w:lineRule="auto"/>
        <w:rPr>
          <w:rFonts w:cs="HelveticaNeue-BoldCond"/>
          <w:bCs/>
          <w:sz w:val="18"/>
          <w:szCs w:val="18"/>
        </w:rPr>
      </w:pPr>
      <w:r>
        <w:rPr>
          <w:sz w:val="18"/>
          <w:szCs w:val="18"/>
        </w:rPr>
        <w:tab/>
        <w:t>d. 2%</w:t>
      </w:r>
    </w:p>
    <w:p w:rsidR="00BD3185" w:rsidRDefault="00BD3185" w:rsidP="00183EAE">
      <w:pPr>
        <w:spacing w:after="0" w:line="240" w:lineRule="auto"/>
        <w:rPr>
          <w:sz w:val="18"/>
          <w:szCs w:val="18"/>
        </w:rPr>
      </w:pPr>
    </w:p>
    <w:p w:rsidR="009A799E" w:rsidRPr="009A799E" w:rsidRDefault="009A799E" w:rsidP="009A799E">
      <w:pPr>
        <w:autoSpaceDE w:val="0"/>
        <w:autoSpaceDN w:val="0"/>
        <w:adjustRightInd w:val="0"/>
        <w:spacing w:after="0" w:line="240" w:lineRule="auto"/>
        <w:rPr>
          <w:rFonts w:ascii="Clearface-Regular" w:hAnsi="Clearface-Regular" w:cs="Clearface-Regular"/>
          <w:sz w:val="19"/>
          <w:szCs w:val="19"/>
        </w:rPr>
      </w:pPr>
      <w:r>
        <w:rPr>
          <w:sz w:val="18"/>
          <w:szCs w:val="18"/>
        </w:rPr>
        <w:t>3. List five ways t</w:t>
      </w:r>
      <w:r w:rsidRPr="009A799E">
        <w:rPr>
          <w:rFonts w:ascii="Clearface-Regular" w:hAnsi="Clearface-Regular" w:cs="Clearface-Regular"/>
          <w:sz w:val="18"/>
          <w:szCs w:val="18"/>
        </w:rPr>
        <w:t>he endothelium plays a key role in the maintenance of vascular homeostasis</w:t>
      </w:r>
      <w:r>
        <w:rPr>
          <w:rFonts w:ascii="Clearface-Regular" w:hAnsi="Clearface-Regular" w:cs="Clearface-Regular"/>
          <w:sz w:val="18"/>
          <w:szCs w:val="18"/>
        </w:rPr>
        <w:t>.</w:t>
      </w:r>
      <w:r>
        <w:rPr>
          <w:rFonts w:ascii="Clearface-Regular" w:hAnsi="Clearface-Regular" w:cs="Clearface-Regular"/>
          <w:sz w:val="19"/>
          <w:szCs w:val="19"/>
        </w:rPr>
        <w:t xml:space="preserve"> </w:t>
      </w:r>
    </w:p>
    <w:p w:rsidR="009A799E" w:rsidRPr="009A799E" w:rsidRDefault="009A799E" w:rsidP="009A799E">
      <w:pPr>
        <w:autoSpaceDE w:val="0"/>
        <w:autoSpaceDN w:val="0"/>
        <w:adjustRightInd w:val="0"/>
        <w:spacing w:after="0" w:line="240" w:lineRule="auto"/>
        <w:rPr>
          <w:rFonts w:cs="Clearface-Regular"/>
          <w:sz w:val="18"/>
          <w:szCs w:val="18"/>
        </w:rPr>
      </w:pPr>
      <w:r>
        <w:rPr>
          <w:sz w:val="18"/>
          <w:szCs w:val="18"/>
        </w:rPr>
        <w:tab/>
      </w:r>
      <w:r w:rsidRPr="009A799E">
        <w:rPr>
          <w:sz w:val="18"/>
          <w:szCs w:val="18"/>
        </w:rPr>
        <w:t xml:space="preserve">a. </w:t>
      </w:r>
      <w:r w:rsidRPr="009A799E">
        <w:rPr>
          <w:rFonts w:cs="Clearface-Regular"/>
          <w:sz w:val="18"/>
          <w:szCs w:val="18"/>
        </w:rPr>
        <w:t xml:space="preserve">regulates vascular tone </w:t>
      </w:r>
    </w:p>
    <w:p w:rsidR="009A799E" w:rsidRPr="009A799E" w:rsidRDefault="009A799E" w:rsidP="009A799E">
      <w:pPr>
        <w:autoSpaceDE w:val="0"/>
        <w:autoSpaceDN w:val="0"/>
        <w:adjustRightInd w:val="0"/>
        <w:spacing w:after="0" w:line="240" w:lineRule="auto"/>
        <w:ind w:firstLine="720"/>
        <w:rPr>
          <w:rFonts w:cs="Clearface-Regular"/>
          <w:sz w:val="18"/>
          <w:szCs w:val="18"/>
        </w:rPr>
      </w:pPr>
      <w:r w:rsidRPr="009A799E">
        <w:rPr>
          <w:rFonts w:cs="Clearface-Regular"/>
          <w:sz w:val="18"/>
          <w:szCs w:val="18"/>
        </w:rPr>
        <w:t xml:space="preserve">b. platelet aggregation </w:t>
      </w:r>
    </w:p>
    <w:p w:rsidR="009A799E" w:rsidRPr="009A799E" w:rsidRDefault="009A799E" w:rsidP="009A799E">
      <w:pPr>
        <w:autoSpaceDE w:val="0"/>
        <w:autoSpaceDN w:val="0"/>
        <w:adjustRightInd w:val="0"/>
        <w:spacing w:after="0" w:line="240" w:lineRule="auto"/>
        <w:ind w:firstLine="720"/>
        <w:rPr>
          <w:rFonts w:cs="Clearface-Regular"/>
          <w:sz w:val="18"/>
          <w:szCs w:val="18"/>
        </w:rPr>
      </w:pPr>
      <w:r w:rsidRPr="009A799E">
        <w:rPr>
          <w:rFonts w:cs="Clearface-Regular"/>
          <w:sz w:val="18"/>
          <w:szCs w:val="18"/>
        </w:rPr>
        <w:t xml:space="preserve">c. coagulation </w:t>
      </w:r>
    </w:p>
    <w:p w:rsidR="009A799E" w:rsidRPr="009A799E" w:rsidRDefault="009A799E" w:rsidP="009A799E">
      <w:pPr>
        <w:autoSpaceDE w:val="0"/>
        <w:autoSpaceDN w:val="0"/>
        <w:adjustRightInd w:val="0"/>
        <w:spacing w:after="0" w:line="240" w:lineRule="auto"/>
        <w:ind w:firstLine="720"/>
        <w:rPr>
          <w:rFonts w:cs="Clearface-Regular"/>
          <w:sz w:val="18"/>
          <w:szCs w:val="18"/>
        </w:rPr>
      </w:pPr>
      <w:r w:rsidRPr="009A799E">
        <w:rPr>
          <w:rFonts w:cs="Clearface-Regular"/>
          <w:sz w:val="18"/>
          <w:szCs w:val="18"/>
        </w:rPr>
        <w:t>d. fibrinolysis</w:t>
      </w:r>
    </w:p>
    <w:p w:rsidR="009A799E" w:rsidRPr="009A799E" w:rsidRDefault="009A799E" w:rsidP="009A799E">
      <w:pPr>
        <w:autoSpaceDE w:val="0"/>
        <w:autoSpaceDN w:val="0"/>
        <w:adjustRightInd w:val="0"/>
        <w:spacing w:after="0" w:line="240" w:lineRule="auto"/>
        <w:ind w:firstLine="720"/>
        <w:rPr>
          <w:rFonts w:cs="Clearface-Regular"/>
          <w:sz w:val="18"/>
          <w:szCs w:val="18"/>
        </w:rPr>
      </w:pPr>
      <w:r w:rsidRPr="009A799E">
        <w:rPr>
          <w:rFonts w:cs="Clearface-Regular"/>
          <w:sz w:val="18"/>
          <w:szCs w:val="18"/>
        </w:rPr>
        <w:t>e. leukocyte activation</w:t>
      </w:r>
    </w:p>
    <w:p w:rsidR="009A799E" w:rsidRDefault="009A799E" w:rsidP="00183EAE">
      <w:pPr>
        <w:spacing w:after="0" w:line="240" w:lineRule="auto"/>
        <w:rPr>
          <w:sz w:val="18"/>
          <w:szCs w:val="18"/>
        </w:rPr>
      </w:pPr>
    </w:p>
    <w:p w:rsidR="007557F0" w:rsidRDefault="007557F0" w:rsidP="00183EAE">
      <w:pPr>
        <w:spacing w:after="0" w:line="240" w:lineRule="auto"/>
        <w:rPr>
          <w:sz w:val="18"/>
          <w:szCs w:val="18"/>
        </w:rPr>
      </w:pPr>
    </w:p>
    <w:p w:rsidR="007557F0" w:rsidRDefault="007557F0" w:rsidP="00183EAE">
      <w:pPr>
        <w:spacing w:after="0" w:line="240" w:lineRule="auto"/>
        <w:rPr>
          <w:sz w:val="18"/>
          <w:szCs w:val="18"/>
        </w:rPr>
      </w:pPr>
    </w:p>
    <w:p w:rsidR="007557F0" w:rsidRDefault="007557F0">
      <w:pPr>
        <w:rPr>
          <w:sz w:val="18"/>
          <w:szCs w:val="18"/>
        </w:rPr>
      </w:pPr>
      <w:r>
        <w:rPr>
          <w:sz w:val="18"/>
          <w:szCs w:val="18"/>
        </w:rPr>
        <w:br w:type="page"/>
      </w:r>
    </w:p>
    <w:p w:rsidR="007557F0" w:rsidRPr="007557F0" w:rsidRDefault="007557F0" w:rsidP="007557F0">
      <w:pPr>
        <w:autoSpaceDE w:val="0"/>
        <w:autoSpaceDN w:val="0"/>
        <w:adjustRightInd w:val="0"/>
        <w:spacing w:after="0" w:line="240" w:lineRule="auto"/>
        <w:rPr>
          <w:rFonts w:cs="HelveticaNeue-BoldCond"/>
          <w:bCs/>
          <w:sz w:val="19"/>
          <w:szCs w:val="19"/>
        </w:rPr>
      </w:pPr>
      <w:r w:rsidRPr="007557F0">
        <w:rPr>
          <w:rFonts w:cs="HelveticaNeue-BoldCond"/>
          <w:bCs/>
          <w:sz w:val="19"/>
          <w:szCs w:val="19"/>
        </w:rPr>
        <w:lastRenderedPageBreak/>
        <w:t>Crit Care Med 2011; 39:671– 677</w:t>
      </w:r>
    </w:p>
    <w:p w:rsidR="007557F0" w:rsidRPr="007557F0" w:rsidRDefault="007557F0" w:rsidP="007557F0">
      <w:pPr>
        <w:autoSpaceDE w:val="0"/>
        <w:autoSpaceDN w:val="0"/>
        <w:adjustRightInd w:val="0"/>
        <w:spacing w:after="0" w:line="240" w:lineRule="auto"/>
        <w:jc w:val="center"/>
        <w:rPr>
          <w:rFonts w:cs="Clearface-Bold"/>
          <w:b/>
          <w:bCs/>
          <w:sz w:val="24"/>
          <w:szCs w:val="24"/>
        </w:rPr>
      </w:pPr>
      <w:r w:rsidRPr="007557F0">
        <w:rPr>
          <w:rFonts w:cs="Clearface-Bold"/>
          <w:b/>
          <w:bCs/>
          <w:sz w:val="24"/>
          <w:szCs w:val="24"/>
        </w:rPr>
        <w:t>Association of low serum 25-hydroxyvitamin D levels and mortality</w:t>
      </w:r>
    </w:p>
    <w:p w:rsidR="007557F0" w:rsidRPr="007557F0" w:rsidRDefault="007557F0" w:rsidP="007557F0">
      <w:pPr>
        <w:autoSpaceDE w:val="0"/>
        <w:autoSpaceDN w:val="0"/>
        <w:adjustRightInd w:val="0"/>
        <w:spacing w:after="0" w:line="240" w:lineRule="auto"/>
        <w:jc w:val="center"/>
        <w:rPr>
          <w:rFonts w:cs="Clearface-Bold"/>
          <w:b/>
          <w:bCs/>
          <w:sz w:val="24"/>
          <w:szCs w:val="24"/>
        </w:rPr>
      </w:pPr>
      <w:r w:rsidRPr="007557F0">
        <w:rPr>
          <w:rFonts w:cs="Clearface-Bold"/>
          <w:b/>
          <w:bCs/>
          <w:sz w:val="24"/>
          <w:szCs w:val="24"/>
        </w:rPr>
        <w:t>in the critically ill*</w:t>
      </w:r>
    </w:p>
    <w:p w:rsidR="007557F0" w:rsidRPr="007557F0" w:rsidRDefault="007557F0" w:rsidP="007557F0">
      <w:pPr>
        <w:autoSpaceDE w:val="0"/>
        <w:autoSpaceDN w:val="0"/>
        <w:adjustRightInd w:val="0"/>
        <w:spacing w:after="0" w:line="240" w:lineRule="auto"/>
        <w:jc w:val="center"/>
        <w:rPr>
          <w:rFonts w:cs="HelveticaNeue-Condensed"/>
          <w:sz w:val="20"/>
          <w:szCs w:val="20"/>
        </w:rPr>
      </w:pPr>
      <w:r w:rsidRPr="007557F0">
        <w:rPr>
          <w:rFonts w:cs="HelveticaNeue-Condensed"/>
          <w:sz w:val="20"/>
          <w:szCs w:val="20"/>
        </w:rPr>
        <w:t>Andrea Braun, MD; Domingo Chang, MD; Karthik Mahadevappa, MBBS; Fiona K. Gibbons, MD;</w:t>
      </w:r>
    </w:p>
    <w:p w:rsidR="007557F0" w:rsidRPr="007557F0" w:rsidRDefault="007557F0" w:rsidP="007557F0">
      <w:pPr>
        <w:autoSpaceDE w:val="0"/>
        <w:autoSpaceDN w:val="0"/>
        <w:adjustRightInd w:val="0"/>
        <w:spacing w:after="0" w:line="240" w:lineRule="auto"/>
        <w:jc w:val="center"/>
        <w:rPr>
          <w:rFonts w:cs="HelveticaNeue-Condensed"/>
          <w:sz w:val="20"/>
          <w:szCs w:val="20"/>
        </w:rPr>
      </w:pPr>
      <w:r w:rsidRPr="007557F0">
        <w:rPr>
          <w:rFonts w:cs="HelveticaNeue-Condensed"/>
          <w:sz w:val="20"/>
          <w:szCs w:val="20"/>
        </w:rPr>
        <w:t>Yan Liu, MS; Edward Giovannucci, MD, ScD; Kenneth B. Christopher, MD, FASN, FCCP</w:t>
      </w:r>
    </w:p>
    <w:p w:rsidR="007557F0" w:rsidRPr="007557F0" w:rsidRDefault="007557F0" w:rsidP="007557F0">
      <w:pPr>
        <w:autoSpaceDE w:val="0"/>
        <w:autoSpaceDN w:val="0"/>
        <w:adjustRightInd w:val="0"/>
        <w:spacing w:after="0" w:line="240" w:lineRule="auto"/>
        <w:rPr>
          <w:rFonts w:cs="HelveticaNeue-BoldCond"/>
          <w:bCs/>
          <w:sz w:val="16"/>
          <w:szCs w:val="16"/>
        </w:rPr>
      </w:pPr>
      <w:r w:rsidRPr="007557F0">
        <w:rPr>
          <w:rFonts w:cs="HelveticaNeue-BoldCondObl"/>
          <w:bCs/>
          <w:i/>
          <w:iCs/>
          <w:sz w:val="16"/>
          <w:szCs w:val="16"/>
        </w:rPr>
        <w:t xml:space="preserve">Objective: </w:t>
      </w:r>
      <w:r w:rsidRPr="007557F0">
        <w:rPr>
          <w:rFonts w:cs="HelveticaNeue-BoldCond"/>
          <w:bCs/>
          <w:sz w:val="16"/>
          <w:szCs w:val="16"/>
        </w:rPr>
        <w:t>We hypothesized that deficiency in 25-hydroxyvitamin</w:t>
      </w:r>
      <w:r>
        <w:rPr>
          <w:rFonts w:cs="HelveticaNeue-BoldCond"/>
          <w:bCs/>
          <w:sz w:val="16"/>
          <w:szCs w:val="16"/>
        </w:rPr>
        <w:t xml:space="preserve"> </w:t>
      </w:r>
      <w:r w:rsidRPr="007557F0">
        <w:rPr>
          <w:rFonts w:cs="HelveticaNeue-BoldCond"/>
          <w:bCs/>
          <w:sz w:val="16"/>
          <w:szCs w:val="16"/>
        </w:rPr>
        <w:t>D before hospital admission would be associated with allcause</w:t>
      </w:r>
    </w:p>
    <w:p w:rsidR="007557F0" w:rsidRPr="007557F0" w:rsidRDefault="007557F0" w:rsidP="007557F0">
      <w:pPr>
        <w:autoSpaceDE w:val="0"/>
        <w:autoSpaceDN w:val="0"/>
        <w:adjustRightInd w:val="0"/>
        <w:spacing w:after="0" w:line="240" w:lineRule="auto"/>
        <w:rPr>
          <w:rFonts w:cs="HelveticaNeue-BoldCond"/>
          <w:bCs/>
          <w:sz w:val="16"/>
          <w:szCs w:val="16"/>
        </w:rPr>
      </w:pPr>
      <w:r w:rsidRPr="007557F0">
        <w:rPr>
          <w:rFonts w:cs="HelveticaNeue-BoldCond"/>
          <w:bCs/>
          <w:sz w:val="16"/>
          <w:szCs w:val="16"/>
        </w:rPr>
        <w:t>mortality in the critically ill.</w:t>
      </w:r>
    </w:p>
    <w:p w:rsidR="007557F0" w:rsidRPr="007557F0" w:rsidRDefault="007557F0" w:rsidP="007557F0">
      <w:pPr>
        <w:autoSpaceDE w:val="0"/>
        <w:autoSpaceDN w:val="0"/>
        <w:adjustRightInd w:val="0"/>
        <w:spacing w:after="0" w:line="240" w:lineRule="auto"/>
        <w:rPr>
          <w:rFonts w:cs="HelveticaNeue-BoldCond"/>
          <w:bCs/>
          <w:sz w:val="16"/>
          <w:szCs w:val="16"/>
        </w:rPr>
      </w:pPr>
      <w:r w:rsidRPr="007557F0">
        <w:rPr>
          <w:rFonts w:cs="HelveticaNeue-BoldCondObl"/>
          <w:bCs/>
          <w:i/>
          <w:iCs/>
          <w:sz w:val="16"/>
          <w:szCs w:val="16"/>
        </w:rPr>
        <w:t xml:space="preserve">Design: </w:t>
      </w:r>
      <w:r w:rsidRPr="007557F0">
        <w:rPr>
          <w:rFonts w:cs="HelveticaNeue-BoldCond"/>
          <w:bCs/>
          <w:sz w:val="16"/>
          <w:szCs w:val="16"/>
        </w:rPr>
        <w:t>Multicenter observational study of patients treated in</w:t>
      </w:r>
      <w:r>
        <w:rPr>
          <w:rFonts w:cs="HelveticaNeue-BoldCond"/>
          <w:bCs/>
          <w:sz w:val="16"/>
          <w:szCs w:val="16"/>
        </w:rPr>
        <w:t xml:space="preserve"> </w:t>
      </w:r>
      <w:r w:rsidRPr="007557F0">
        <w:rPr>
          <w:rFonts w:cs="HelveticaNeue-BoldCond"/>
          <w:bCs/>
          <w:sz w:val="16"/>
          <w:szCs w:val="16"/>
        </w:rPr>
        <w:t>medical and surgical intensive care units.</w:t>
      </w:r>
    </w:p>
    <w:p w:rsidR="007557F0" w:rsidRPr="007557F0" w:rsidRDefault="007557F0" w:rsidP="007557F0">
      <w:pPr>
        <w:autoSpaceDE w:val="0"/>
        <w:autoSpaceDN w:val="0"/>
        <w:adjustRightInd w:val="0"/>
        <w:spacing w:after="0" w:line="240" w:lineRule="auto"/>
        <w:rPr>
          <w:rFonts w:cs="HelveticaNeue-BoldCond"/>
          <w:bCs/>
          <w:sz w:val="16"/>
          <w:szCs w:val="16"/>
        </w:rPr>
      </w:pPr>
      <w:r w:rsidRPr="007557F0">
        <w:rPr>
          <w:rFonts w:cs="HelveticaNeue-BoldCondObl"/>
          <w:bCs/>
          <w:i/>
          <w:iCs/>
          <w:sz w:val="16"/>
          <w:szCs w:val="16"/>
        </w:rPr>
        <w:t xml:space="preserve">Setting: </w:t>
      </w:r>
      <w:r w:rsidRPr="007557F0">
        <w:rPr>
          <w:rFonts w:cs="HelveticaNeue-BoldCond"/>
          <w:bCs/>
          <w:sz w:val="16"/>
          <w:szCs w:val="16"/>
        </w:rPr>
        <w:t>A total of 209 medical and surgical intensive care beds</w:t>
      </w:r>
      <w:r>
        <w:rPr>
          <w:rFonts w:cs="HelveticaNeue-BoldCond"/>
          <w:bCs/>
          <w:sz w:val="16"/>
          <w:szCs w:val="16"/>
        </w:rPr>
        <w:t xml:space="preserve"> </w:t>
      </w:r>
      <w:r w:rsidRPr="007557F0">
        <w:rPr>
          <w:rFonts w:cs="HelveticaNeue-BoldCond"/>
          <w:bCs/>
          <w:sz w:val="16"/>
          <w:szCs w:val="16"/>
        </w:rPr>
        <w:t>in two teaching hospitals in Boston, MA.</w:t>
      </w:r>
    </w:p>
    <w:p w:rsidR="007557F0" w:rsidRPr="007557F0" w:rsidRDefault="007557F0" w:rsidP="007557F0">
      <w:pPr>
        <w:autoSpaceDE w:val="0"/>
        <w:autoSpaceDN w:val="0"/>
        <w:adjustRightInd w:val="0"/>
        <w:spacing w:after="0" w:line="240" w:lineRule="auto"/>
        <w:rPr>
          <w:rFonts w:cs="HelveticaNeue-BoldCond"/>
          <w:bCs/>
          <w:sz w:val="16"/>
          <w:szCs w:val="16"/>
        </w:rPr>
      </w:pPr>
      <w:r w:rsidRPr="007557F0">
        <w:rPr>
          <w:rFonts w:cs="HelveticaNeue-BoldCondObl"/>
          <w:bCs/>
          <w:i/>
          <w:iCs/>
          <w:sz w:val="16"/>
          <w:szCs w:val="16"/>
        </w:rPr>
        <w:t xml:space="preserve">Patients: </w:t>
      </w:r>
      <w:r w:rsidRPr="007557F0">
        <w:rPr>
          <w:rFonts w:cs="HelveticaNeue-BoldCond"/>
          <w:bCs/>
          <w:sz w:val="16"/>
          <w:szCs w:val="16"/>
        </w:rPr>
        <w:t xml:space="preserve">A total of 2399 patients, age </w:t>
      </w:r>
      <w:r w:rsidRPr="007557F0">
        <w:rPr>
          <w:rFonts w:cs="OurOwn-CJS"/>
          <w:sz w:val="16"/>
          <w:szCs w:val="16"/>
        </w:rPr>
        <w:t>&gt;</w:t>
      </w:r>
      <w:r w:rsidRPr="007557F0">
        <w:rPr>
          <w:rFonts w:cs="HelveticaNeue-BoldCond"/>
          <w:bCs/>
          <w:sz w:val="16"/>
          <w:szCs w:val="16"/>
        </w:rPr>
        <w:t>18 yrs, in whom</w:t>
      </w:r>
      <w:r>
        <w:rPr>
          <w:rFonts w:cs="HelveticaNeue-BoldCond"/>
          <w:bCs/>
          <w:sz w:val="16"/>
          <w:szCs w:val="16"/>
        </w:rPr>
        <w:t xml:space="preserve"> </w:t>
      </w:r>
      <w:r w:rsidRPr="007557F0">
        <w:rPr>
          <w:rFonts w:cs="HelveticaNeue-BoldCond"/>
          <w:bCs/>
          <w:sz w:val="16"/>
          <w:szCs w:val="16"/>
        </w:rPr>
        <w:t>25-hydroxyvitamin D was measured before hospitalization between</w:t>
      </w:r>
    </w:p>
    <w:p w:rsidR="007557F0" w:rsidRPr="007557F0" w:rsidRDefault="007557F0" w:rsidP="007557F0">
      <w:pPr>
        <w:autoSpaceDE w:val="0"/>
        <w:autoSpaceDN w:val="0"/>
        <w:adjustRightInd w:val="0"/>
        <w:spacing w:after="0" w:line="240" w:lineRule="auto"/>
        <w:rPr>
          <w:rFonts w:cs="HelveticaNeue-BoldCond"/>
          <w:bCs/>
          <w:sz w:val="16"/>
          <w:szCs w:val="16"/>
        </w:rPr>
      </w:pPr>
      <w:r w:rsidRPr="007557F0">
        <w:rPr>
          <w:rFonts w:cs="HelveticaNeue-BoldCond"/>
          <w:bCs/>
          <w:sz w:val="16"/>
          <w:szCs w:val="16"/>
        </w:rPr>
        <w:t>1998 and 2009.</w:t>
      </w:r>
    </w:p>
    <w:p w:rsidR="007557F0" w:rsidRPr="007557F0" w:rsidRDefault="007557F0" w:rsidP="007557F0">
      <w:pPr>
        <w:autoSpaceDE w:val="0"/>
        <w:autoSpaceDN w:val="0"/>
        <w:adjustRightInd w:val="0"/>
        <w:spacing w:after="0" w:line="240" w:lineRule="auto"/>
        <w:rPr>
          <w:rFonts w:cs="HelveticaNeue-BoldCond"/>
          <w:bCs/>
          <w:sz w:val="16"/>
          <w:szCs w:val="16"/>
        </w:rPr>
      </w:pPr>
      <w:r w:rsidRPr="007557F0">
        <w:rPr>
          <w:rFonts w:cs="HelveticaNeue-BoldCondObl"/>
          <w:bCs/>
          <w:i/>
          <w:iCs/>
          <w:sz w:val="16"/>
          <w:szCs w:val="16"/>
        </w:rPr>
        <w:t xml:space="preserve">Interventions: </w:t>
      </w:r>
      <w:r w:rsidRPr="007557F0">
        <w:rPr>
          <w:rFonts w:cs="HelveticaNeue-BoldCond"/>
          <w:bCs/>
          <w:sz w:val="16"/>
          <w:szCs w:val="16"/>
        </w:rPr>
        <w:t>None.</w:t>
      </w:r>
    </w:p>
    <w:p w:rsidR="007557F0" w:rsidRPr="007557F0" w:rsidRDefault="007557F0" w:rsidP="007557F0">
      <w:pPr>
        <w:autoSpaceDE w:val="0"/>
        <w:autoSpaceDN w:val="0"/>
        <w:adjustRightInd w:val="0"/>
        <w:spacing w:after="0" w:line="240" w:lineRule="auto"/>
        <w:rPr>
          <w:rFonts w:cs="HelveticaNeue-BoldCond"/>
          <w:bCs/>
          <w:sz w:val="16"/>
          <w:szCs w:val="16"/>
        </w:rPr>
      </w:pPr>
      <w:r w:rsidRPr="007557F0">
        <w:rPr>
          <w:rFonts w:cs="HelveticaNeue-BoldCondObl"/>
          <w:bCs/>
          <w:i/>
          <w:iCs/>
          <w:sz w:val="16"/>
          <w:szCs w:val="16"/>
        </w:rPr>
        <w:t xml:space="preserve">Measurements and Main Results: </w:t>
      </w:r>
      <w:r w:rsidRPr="007557F0">
        <w:rPr>
          <w:rFonts w:cs="HelveticaNeue-BoldCond"/>
          <w:bCs/>
          <w:sz w:val="16"/>
          <w:szCs w:val="16"/>
        </w:rPr>
        <w:t>Preadmission 25-hydroxyvitamin</w:t>
      </w:r>
      <w:r>
        <w:rPr>
          <w:rFonts w:cs="HelveticaNeue-BoldCond"/>
          <w:bCs/>
          <w:sz w:val="16"/>
          <w:szCs w:val="16"/>
        </w:rPr>
        <w:t xml:space="preserve"> </w:t>
      </w:r>
      <w:r w:rsidRPr="007557F0">
        <w:rPr>
          <w:rFonts w:cs="HelveticaNeue-BoldCond"/>
          <w:bCs/>
          <w:sz w:val="16"/>
          <w:szCs w:val="16"/>
        </w:rPr>
        <w:t>D was categorized as deficiency in 25-hydroxyvitamin D (</w:t>
      </w:r>
      <w:r w:rsidRPr="007557F0">
        <w:rPr>
          <w:rFonts w:cs="OurOwn-CJS"/>
          <w:sz w:val="16"/>
          <w:szCs w:val="16"/>
        </w:rPr>
        <w:t>&lt;</w:t>
      </w:r>
      <w:r w:rsidRPr="007557F0">
        <w:rPr>
          <w:rFonts w:cs="HelveticaNeue-BoldCond"/>
          <w:bCs/>
          <w:sz w:val="16"/>
          <w:szCs w:val="16"/>
        </w:rPr>
        <w:t>15</w:t>
      </w:r>
    </w:p>
    <w:p w:rsidR="007557F0" w:rsidRPr="007557F0" w:rsidRDefault="007557F0" w:rsidP="007557F0">
      <w:pPr>
        <w:autoSpaceDE w:val="0"/>
        <w:autoSpaceDN w:val="0"/>
        <w:adjustRightInd w:val="0"/>
        <w:spacing w:after="0" w:line="240" w:lineRule="auto"/>
        <w:rPr>
          <w:rFonts w:cs="HelveticaNeue-BoldCond"/>
          <w:bCs/>
          <w:sz w:val="16"/>
          <w:szCs w:val="16"/>
        </w:rPr>
      </w:pPr>
      <w:r w:rsidRPr="007557F0">
        <w:rPr>
          <w:rFonts w:cs="HelveticaNeue-BoldCond"/>
          <w:bCs/>
          <w:sz w:val="16"/>
          <w:szCs w:val="16"/>
        </w:rPr>
        <w:t>ng/mL), insufficiency (16–29 ng/mL), and sufficiency (</w:t>
      </w:r>
      <w:r w:rsidRPr="007557F0">
        <w:rPr>
          <w:rFonts w:cs="OurOwn-CJS"/>
          <w:sz w:val="16"/>
          <w:szCs w:val="16"/>
        </w:rPr>
        <w:t>&gt;</w:t>
      </w:r>
      <w:r w:rsidRPr="007557F0">
        <w:rPr>
          <w:rFonts w:cs="HelveticaNeue-BoldCond"/>
          <w:bCs/>
          <w:sz w:val="16"/>
          <w:szCs w:val="16"/>
        </w:rPr>
        <w:t>30 ng/mL).</w:t>
      </w:r>
      <w:r>
        <w:rPr>
          <w:rFonts w:cs="HelveticaNeue-BoldCond"/>
          <w:bCs/>
          <w:sz w:val="16"/>
          <w:szCs w:val="16"/>
        </w:rPr>
        <w:t xml:space="preserve"> </w:t>
      </w:r>
      <w:r w:rsidRPr="007557F0">
        <w:rPr>
          <w:rFonts w:cs="HelveticaNeue-BoldCond"/>
          <w:bCs/>
          <w:sz w:val="16"/>
          <w:szCs w:val="16"/>
        </w:rPr>
        <w:t>Logistic regression examined death by days 30, 90, and 365 postintensive</w:t>
      </w:r>
      <w:r>
        <w:rPr>
          <w:rFonts w:cs="HelveticaNeue-BoldCond"/>
          <w:bCs/>
          <w:sz w:val="16"/>
          <w:szCs w:val="16"/>
        </w:rPr>
        <w:t xml:space="preserve"> </w:t>
      </w:r>
      <w:r w:rsidRPr="007557F0">
        <w:rPr>
          <w:rFonts w:cs="HelveticaNeue-BoldCond"/>
          <w:bCs/>
          <w:sz w:val="16"/>
          <w:szCs w:val="16"/>
        </w:rPr>
        <w:t>care unit admission, in-hospital mortality, and blood culture</w:t>
      </w:r>
      <w:r>
        <w:rPr>
          <w:rFonts w:cs="HelveticaNeue-BoldCond"/>
          <w:bCs/>
          <w:sz w:val="16"/>
          <w:szCs w:val="16"/>
        </w:rPr>
        <w:t xml:space="preserve"> </w:t>
      </w:r>
      <w:r w:rsidRPr="007557F0">
        <w:rPr>
          <w:rFonts w:cs="HelveticaNeue-BoldCond"/>
          <w:bCs/>
          <w:sz w:val="16"/>
          <w:szCs w:val="16"/>
        </w:rPr>
        <w:t>positivity. Adjusted odds ratios were estimated by multivariable</w:t>
      </w:r>
    </w:p>
    <w:p w:rsidR="007557F0" w:rsidRPr="007557F0" w:rsidRDefault="007557F0" w:rsidP="007557F0">
      <w:pPr>
        <w:autoSpaceDE w:val="0"/>
        <w:autoSpaceDN w:val="0"/>
        <w:adjustRightInd w:val="0"/>
        <w:spacing w:after="0" w:line="240" w:lineRule="auto"/>
        <w:rPr>
          <w:rFonts w:cs="HelveticaNeue-BoldCond"/>
          <w:bCs/>
          <w:sz w:val="16"/>
          <w:szCs w:val="16"/>
        </w:rPr>
      </w:pPr>
      <w:r w:rsidRPr="007557F0">
        <w:rPr>
          <w:rFonts w:cs="HelveticaNeue-BoldCond"/>
          <w:bCs/>
          <w:sz w:val="16"/>
          <w:szCs w:val="16"/>
        </w:rPr>
        <w:t>logistic regression models. Preadmission 25-hydroxyvitamin D deficiency</w:t>
      </w:r>
      <w:r>
        <w:rPr>
          <w:rFonts w:cs="HelveticaNeue-BoldCond"/>
          <w:bCs/>
          <w:sz w:val="16"/>
          <w:szCs w:val="16"/>
        </w:rPr>
        <w:t xml:space="preserve"> </w:t>
      </w:r>
      <w:r w:rsidRPr="007557F0">
        <w:rPr>
          <w:rFonts w:cs="HelveticaNeue-BoldCond"/>
          <w:bCs/>
          <w:sz w:val="16"/>
          <w:szCs w:val="16"/>
        </w:rPr>
        <w:t>is predictive for short-term and long-term mortality. At 30</w:t>
      </w:r>
    </w:p>
    <w:p w:rsidR="007557F0" w:rsidRPr="007557F0" w:rsidRDefault="007557F0" w:rsidP="007557F0">
      <w:pPr>
        <w:autoSpaceDE w:val="0"/>
        <w:autoSpaceDN w:val="0"/>
        <w:adjustRightInd w:val="0"/>
        <w:spacing w:after="0" w:line="240" w:lineRule="auto"/>
        <w:rPr>
          <w:rFonts w:cs="HelveticaNeue-BoldCond"/>
          <w:bCs/>
          <w:sz w:val="16"/>
          <w:szCs w:val="16"/>
        </w:rPr>
      </w:pPr>
      <w:r w:rsidRPr="007557F0">
        <w:rPr>
          <w:rFonts w:cs="HelveticaNeue-BoldCond"/>
          <w:bCs/>
          <w:sz w:val="16"/>
          <w:szCs w:val="16"/>
        </w:rPr>
        <w:t>days following intensive care unit admission, patients with 25-</w:t>
      </w:r>
      <w:r>
        <w:rPr>
          <w:rFonts w:cs="HelveticaNeue-BoldCond"/>
          <w:bCs/>
          <w:sz w:val="16"/>
          <w:szCs w:val="16"/>
        </w:rPr>
        <w:t xml:space="preserve"> </w:t>
      </w:r>
      <w:r w:rsidRPr="007557F0">
        <w:rPr>
          <w:rFonts w:cs="HelveticaNeue-BoldCond"/>
          <w:bCs/>
          <w:sz w:val="16"/>
          <w:szCs w:val="16"/>
        </w:rPr>
        <w:t>hydroxyvitamin D deficiency have an odds ratio for mortality of 1.69</w:t>
      </w:r>
    </w:p>
    <w:p w:rsidR="007557F0" w:rsidRPr="007557F0" w:rsidRDefault="007557F0" w:rsidP="007557F0">
      <w:pPr>
        <w:autoSpaceDE w:val="0"/>
        <w:autoSpaceDN w:val="0"/>
        <w:adjustRightInd w:val="0"/>
        <w:spacing w:after="0" w:line="240" w:lineRule="auto"/>
        <w:rPr>
          <w:rFonts w:cs="HelveticaNeue-BoldCond"/>
          <w:bCs/>
          <w:sz w:val="16"/>
          <w:szCs w:val="16"/>
        </w:rPr>
      </w:pPr>
      <w:r w:rsidRPr="007557F0">
        <w:rPr>
          <w:rFonts w:cs="HelveticaNeue-BoldCond"/>
          <w:bCs/>
          <w:sz w:val="16"/>
          <w:szCs w:val="16"/>
        </w:rPr>
        <w:t xml:space="preserve">(95% confidence interval of 1.28 –2.23, </w:t>
      </w:r>
      <w:r w:rsidRPr="007557F0">
        <w:rPr>
          <w:rFonts w:cs="HelveticaNeue-BoldCondObl"/>
          <w:bCs/>
          <w:i/>
          <w:iCs/>
          <w:sz w:val="16"/>
          <w:szCs w:val="16"/>
        </w:rPr>
        <w:t>p</w:t>
      </w:r>
      <w:r w:rsidRPr="007557F0">
        <w:rPr>
          <w:rFonts w:cs="Dutch801BT-Bold"/>
          <w:bCs/>
          <w:sz w:val="16"/>
          <w:szCs w:val="16"/>
        </w:rPr>
        <w:t>&lt;</w:t>
      </w:r>
      <w:r w:rsidRPr="007557F0">
        <w:rPr>
          <w:rFonts w:cs="HelveticaNeue-BoldCond"/>
          <w:bCs/>
          <w:sz w:val="16"/>
          <w:szCs w:val="16"/>
        </w:rPr>
        <w:t>.0001) relative to patients</w:t>
      </w:r>
      <w:r>
        <w:rPr>
          <w:rFonts w:cs="HelveticaNeue-BoldCond"/>
          <w:bCs/>
          <w:sz w:val="16"/>
          <w:szCs w:val="16"/>
        </w:rPr>
        <w:t xml:space="preserve"> </w:t>
      </w:r>
      <w:r w:rsidRPr="007557F0">
        <w:rPr>
          <w:rFonts w:cs="HelveticaNeue-BoldCond"/>
          <w:bCs/>
          <w:sz w:val="16"/>
          <w:szCs w:val="16"/>
        </w:rPr>
        <w:t>with 25-hydroxyvitamin D sufficiency. 25-Hydroxyvitamin D deficiency</w:t>
      </w:r>
    </w:p>
    <w:p w:rsidR="007557F0" w:rsidRPr="007557F0" w:rsidRDefault="007557F0" w:rsidP="007557F0">
      <w:pPr>
        <w:autoSpaceDE w:val="0"/>
        <w:autoSpaceDN w:val="0"/>
        <w:adjustRightInd w:val="0"/>
        <w:spacing w:after="0" w:line="240" w:lineRule="auto"/>
        <w:rPr>
          <w:rFonts w:cs="HelveticaNeue-BoldCond"/>
          <w:bCs/>
          <w:sz w:val="16"/>
          <w:szCs w:val="16"/>
        </w:rPr>
      </w:pPr>
      <w:r w:rsidRPr="007557F0">
        <w:rPr>
          <w:rFonts w:cs="HelveticaNeue-BoldCond"/>
          <w:bCs/>
          <w:sz w:val="16"/>
          <w:szCs w:val="16"/>
        </w:rPr>
        <w:t>remains a significant predictor of mortality at 30 days following</w:t>
      </w:r>
      <w:r>
        <w:rPr>
          <w:rFonts w:cs="HelveticaNeue-BoldCond"/>
          <w:bCs/>
          <w:sz w:val="16"/>
          <w:szCs w:val="16"/>
        </w:rPr>
        <w:t xml:space="preserve"> </w:t>
      </w:r>
      <w:r w:rsidRPr="007557F0">
        <w:rPr>
          <w:rFonts w:cs="HelveticaNeue-BoldCond"/>
          <w:bCs/>
          <w:sz w:val="16"/>
          <w:szCs w:val="16"/>
        </w:rPr>
        <w:t>intensive care unit admission following multivariable adjustment</w:t>
      </w:r>
    </w:p>
    <w:p w:rsidR="007557F0" w:rsidRPr="007557F0" w:rsidRDefault="007557F0" w:rsidP="007557F0">
      <w:pPr>
        <w:autoSpaceDE w:val="0"/>
        <w:autoSpaceDN w:val="0"/>
        <w:adjustRightInd w:val="0"/>
        <w:spacing w:after="0" w:line="240" w:lineRule="auto"/>
        <w:rPr>
          <w:rFonts w:cs="HelveticaNeue-BoldCond"/>
          <w:bCs/>
          <w:sz w:val="16"/>
          <w:szCs w:val="16"/>
        </w:rPr>
      </w:pPr>
      <w:r w:rsidRPr="007557F0">
        <w:rPr>
          <w:rFonts w:cs="HelveticaNeue-BoldCond"/>
          <w:bCs/>
          <w:sz w:val="16"/>
          <w:szCs w:val="16"/>
        </w:rPr>
        <w:t>(adjusted odds ratio of 1.69, 95% confidence interval of 1.26 –2.26,</w:t>
      </w:r>
      <w:r>
        <w:rPr>
          <w:rFonts w:cs="HelveticaNeue-BoldCond"/>
          <w:bCs/>
          <w:sz w:val="16"/>
          <w:szCs w:val="16"/>
        </w:rPr>
        <w:t xml:space="preserve"> </w:t>
      </w:r>
      <w:r w:rsidRPr="007557F0">
        <w:rPr>
          <w:rFonts w:cs="HelveticaNeue-BoldCondObl"/>
          <w:bCs/>
          <w:i/>
          <w:iCs/>
          <w:sz w:val="16"/>
          <w:szCs w:val="16"/>
        </w:rPr>
        <w:t xml:space="preserve">p </w:t>
      </w:r>
      <w:r w:rsidRPr="007557F0">
        <w:rPr>
          <w:rFonts w:cs="Dutch801BT-Bold"/>
          <w:bCs/>
          <w:sz w:val="16"/>
          <w:szCs w:val="16"/>
        </w:rPr>
        <w:t xml:space="preserve">&lt; </w:t>
      </w:r>
      <w:r w:rsidRPr="007557F0">
        <w:rPr>
          <w:rFonts w:cs="HelveticaNeue-BoldCond"/>
          <w:bCs/>
          <w:sz w:val="16"/>
          <w:szCs w:val="16"/>
        </w:rPr>
        <w:t>.0001). At 30 days following intensive care unit admission,</w:t>
      </w:r>
    </w:p>
    <w:p w:rsidR="007557F0" w:rsidRPr="007557F0" w:rsidRDefault="007557F0" w:rsidP="007557F0">
      <w:pPr>
        <w:autoSpaceDE w:val="0"/>
        <w:autoSpaceDN w:val="0"/>
        <w:adjustRightInd w:val="0"/>
        <w:spacing w:after="0" w:line="240" w:lineRule="auto"/>
        <w:rPr>
          <w:rFonts w:cs="HelveticaNeue-BoldCond"/>
          <w:bCs/>
          <w:sz w:val="16"/>
          <w:szCs w:val="16"/>
        </w:rPr>
      </w:pPr>
      <w:r w:rsidRPr="007557F0">
        <w:rPr>
          <w:rFonts w:cs="HelveticaNeue-BoldCond"/>
          <w:bCs/>
          <w:sz w:val="16"/>
          <w:szCs w:val="16"/>
        </w:rPr>
        <w:t>patients with 25-hydroxyvitamin D insufficiency have an odds ratio of</w:t>
      </w:r>
      <w:r>
        <w:rPr>
          <w:rFonts w:cs="HelveticaNeue-BoldCond"/>
          <w:bCs/>
          <w:sz w:val="16"/>
          <w:szCs w:val="16"/>
        </w:rPr>
        <w:t xml:space="preserve"> </w:t>
      </w:r>
      <w:r w:rsidRPr="007557F0">
        <w:rPr>
          <w:rFonts w:cs="HelveticaNeue-BoldCond"/>
          <w:bCs/>
          <w:sz w:val="16"/>
          <w:szCs w:val="16"/>
        </w:rPr>
        <w:t xml:space="preserve">1.32 (95% confidence interval of 1.02–1.72, </w:t>
      </w:r>
      <w:r w:rsidRPr="007557F0">
        <w:rPr>
          <w:rFonts w:cs="HelveticaNeue-BoldCondObl"/>
          <w:bCs/>
          <w:i/>
          <w:iCs/>
          <w:sz w:val="16"/>
          <w:szCs w:val="16"/>
        </w:rPr>
        <w:t xml:space="preserve">p </w:t>
      </w:r>
      <w:r w:rsidRPr="007557F0">
        <w:rPr>
          <w:rFonts w:cs="MathematicalPi-Four"/>
          <w:sz w:val="16"/>
          <w:szCs w:val="16"/>
        </w:rPr>
        <w:t xml:space="preserve">_ </w:t>
      </w:r>
      <w:r w:rsidRPr="007557F0">
        <w:rPr>
          <w:rFonts w:cs="HelveticaNeue-BoldCond"/>
          <w:bCs/>
          <w:sz w:val="16"/>
          <w:szCs w:val="16"/>
        </w:rPr>
        <w:t>.036) and an adjusted</w:t>
      </w:r>
    </w:p>
    <w:p w:rsidR="007557F0" w:rsidRPr="007557F0" w:rsidRDefault="007557F0" w:rsidP="007557F0">
      <w:pPr>
        <w:autoSpaceDE w:val="0"/>
        <w:autoSpaceDN w:val="0"/>
        <w:adjustRightInd w:val="0"/>
        <w:spacing w:after="0" w:line="240" w:lineRule="auto"/>
        <w:rPr>
          <w:rFonts w:cs="MathematicalPi-Four"/>
          <w:sz w:val="16"/>
          <w:szCs w:val="16"/>
        </w:rPr>
      </w:pPr>
      <w:r w:rsidRPr="007557F0">
        <w:rPr>
          <w:rFonts w:cs="HelveticaNeue-BoldCond"/>
          <w:bCs/>
          <w:sz w:val="16"/>
          <w:szCs w:val="16"/>
        </w:rPr>
        <w:t xml:space="preserve">odds ratio of 1.36 (95% confidence interval of 1.03–1.79, </w:t>
      </w:r>
      <w:r w:rsidRPr="007557F0">
        <w:rPr>
          <w:rFonts w:cs="HelveticaNeue-BoldCondObl"/>
          <w:bCs/>
          <w:i/>
          <w:iCs/>
          <w:sz w:val="16"/>
          <w:szCs w:val="16"/>
        </w:rPr>
        <w:t xml:space="preserve">p </w:t>
      </w:r>
      <w:r w:rsidRPr="007557F0">
        <w:rPr>
          <w:rFonts w:cs="MathematicalPi-Four"/>
          <w:sz w:val="16"/>
          <w:szCs w:val="16"/>
        </w:rPr>
        <w:t>_</w:t>
      </w:r>
      <w:r>
        <w:rPr>
          <w:rFonts w:cs="MathematicalPi-Four"/>
          <w:sz w:val="16"/>
          <w:szCs w:val="16"/>
        </w:rPr>
        <w:t xml:space="preserve"> </w:t>
      </w:r>
      <w:r w:rsidRPr="007557F0">
        <w:rPr>
          <w:rFonts w:cs="HelveticaNeue-BoldCond"/>
          <w:bCs/>
          <w:sz w:val="16"/>
          <w:szCs w:val="16"/>
        </w:rPr>
        <w:t>.029) relative to patients with 25-hydroxyvitamin D sufficiency. Results</w:t>
      </w:r>
    </w:p>
    <w:p w:rsidR="007557F0" w:rsidRPr="007557F0" w:rsidRDefault="007557F0" w:rsidP="007557F0">
      <w:pPr>
        <w:autoSpaceDE w:val="0"/>
        <w:autoSpaceDN w:val="0"/>
        <w:adjustRightInd w:val="0"/>
        <w:spacing w:after="0" w:line="240" w:lineRule="auto"/>
        <w:rPr>
          <w:rFonts w:cs="HelveticaNeue-BoldCond"/>
          <w:bCs/>
          <w:sz w:val="16"/>
          <w:szCs w:val="16"/>
        </w:rPr>
      </w:pPr>
      <w:r w:rsidRPr="007557F0">
        <w:rPr>
          <w:rFonts w:cs="HelveticaNeue-BoldCond"/>
          <w:bCs/>
          <w:sz w:val="16"/>
          <w:szCs w:val="16"/>
        </w:rPr>
        <w:t>were similar at 90 and 365 days following intensive care unit</w:t>
      </w:r>
      <w:r>
        <w:rPr>
          <w:rFonts w:cs="HelveticaNeue-BoldCond"/>
          <w:bCs/>
          <w:sz w:val="16"/>
          <w:szCs w:val="16"/>
        </w:rPr>
        <w:t xml:space="preserve"> </w:t>
      </w:r>
      <w:r w:rsidRPr="007557F0">
        <w:rPr>
          <w:rFonts w:cs="HelveticaNeue-BoldCond"/>
          <w:bCs/>
          <w:sz w:val="16"/>
          <w:szCs w:val="16"/>
        </w:rPr>
        <w:t>admission and for in-hospital mortality. In a subgroup analysis of</w:t>
      </w:r>
    </w:p>
    <w:p w:rsidR="007557F0" w:rsidRPr="007557F0" w:rsidRDefault="007557F0" w:rsidP="007557F0">
      <w:pPr>
        <w:autoSpaceDE w:val="0"/>
        <w:autoSpaceDN w:val="0"/>
        <w:adjustRightInd w:val="0"/>
        <w:spacing w:after="0" w:line="240" w:lineRule="auto"/>
        <w:rPr>
          <w:rFonts w:cs="HelveticaNeue-BoldCond"/>
          <w:bCs/>
          <w:sz w:val="16"/>
          <w:szCs w:val="16"/>
        </w:rPr>
      </w:pPr>
      <w:r w:rsidRPr="007557F0">
        <w:rPr>
          <w:rFonts w:cs="HelveticaNeue-BoldCond"/>
          <w:bCs/>
          <w:sz w:val="16"/>
          <w:szCs w:val="16"/>
        </w:rPr>
        <w:t xml:space="preserve">patients who had blood cultures drawn (n </w:t>
      </w:r>
      <w:r w:rsidRPr="007557F0">
        <w:rPr>
          <w:rFonts w:cs="MathematicalPi-Four"/>
          <w:sz w:val="16"/>
          <w:szCs w:val="16"/>
        </w:rPr>
        <w:t xml:space="preserve">_ </w:t>
      </w:r>
      <w:r w:rsidRPr="007557F0">
        <w:rPr>
          <w:rFonts w:cs="HelveticaNeue-BoldCond"/>
          <w:bCs/>
          <w:sz w:val="16"/>
          <w:szCs w:val="16"/>
        </w:rPr>
        <w:t>1160), 25-hydroxyvitamin</w:t>
      </w:r>
      <w:r>
        <w:rPr>
          <w:rFonts w:cs="HelveticaNeue-BoldCond"/>
          <w:bCs/>
          <w:sz w:val="16"/>
          <w:szCs w:val="16"/>
        </w:rPr>
        <w:t xml:space="preserve"> </w:t>
      </w:r>
      <w:r w:rsidRPr="007557F0">
        <w:rPr>
          <w:rFonts w:cs="HelveticaNeue-BoldCond"/>
          <w:bCs/>
          <w:sz w:val="16"/>
          <w:szCs w:val="16"/>
        </w:rPr>
        <w:t>D deficiency was associated with increased risk of blood culture</w:t>
      </w:r>
    </w:p>
    <w:p w:rsidR="007557F0" w:rsidRPr="007557F0" w:rsidRDefault="007557F0" w:rsidP="007557F0">
      <w:pPr>
        <w:autoSpaceDE w:val="0"/>
        <w:autoSpaceDN w:val="0"/>
        <w:adjustRightInd w:val="0"/>
        <w:spacing w:after="0" w:line="240" w:lineRule="auto"/>
        <w:rPr>
          <w:rFonts w:cs="HelveticaNeue-BoldCond"/>
          <w:bCs/>
          <w:sz w:val="16"/>
          <w:szCs w:val="16"/>
        </w:rPr>
      </w:pPr>
      <w:r w:rsidRPr="007557F0">
        <w:rPr>
          <w:rFonts w:cs="HelveticaNeue-BoldCond"/>
          <w:bCs/>
          <w:sz w:val="16"/>
          <w:szCs w:val="16"/>
        </w:rPr>
        <w:t>positivity. Patients with 25-hydroxyvitamin D insufficiency have an</w:t>
      </w:r>
      <w:r>
        <w:rPr>
          <w:rFonts w:cs="HelveticaNeue-BoldCond"/>
          <w:bCs/>
          <w:sz w:val="16"/>
          <w:szCs w:val="16"/>
        </w:rPr>
        <w:t xml:space="preserve"> </w:t>
      </w:r>
      <w:r w:rsidRPr="007557F0">
        <w:rPr>
          <w:rFonts w:cs="HelveticaNeue-BoldCond"/>
          <w:bCs/>
          <w:sz w:val="16"/>
          <w:szCs w:val="16"/>
        </w:rPr>
        <w:t>odds ratio for blood culture positivity of 1.64 (95% confidence interval</w:t>
      </w:r>
    </w:p>
    <w:p w:rsidR="007557F0" w:rsidRPr="007557F0" w:rsidRDefault="007557F0" w:rsidP="007557F0">
      <w:pPr>
        <w:autoSpaceDE w:val="0"/>
        <w:autoSpaceDN w:val="0"/>
        <w:adjustRightInd w:val="0"/>
        <w:spacing w:after="0" w:line="240" w:lineRule="auto"/>
        <w:rPr>
          <w:rFonts w:cs="HelveticaNeue-BoldCond"/>
          <w:bCs/>
          <w:sz w:val="16"/>
          <w:szCs w:val="16"/>
        </w:rPr>
      </w:pPr>
      <w:r w:rsidRPr="007557F0">
        <w:rPr>
          <w:rFonts w:cs="HelveticaNeue-BoldCond"/>
          <w:bCs/>
          <w:sz w:val="16"/>
          <w:szCs w:val="16"/>
        </w:rPr>
        <w:t xml:space="preserve">of 1.05–2.55, </w:t>
      </w:r>
      <w:r w:rsidRPr="007557F0">
        <w:rPr>
          <w:rFonts w:cs="HelveticaNeue-BoldCondObl"/>
          <w:bCs/>
          <w:i/>
          <w:iCs/>
          <w:sz w:val="16"/>
          <w:szCs w:val="16"/>
        </w:rPr>
        <w:t xml:space="preserve">p </w:t>
      </w:r>
      <w:r w:rsidRPr="007557F0">
        <w:rPr>
          <w:rFonts w:cs="MathematicalPi-Four"/>
          <w:sz w:val="16"/>
          <w:szCs w:val="16"/>
        </w:rPr>
        <w:t xml:space="preserve">_ </w:t>
      </w:r>
      <w:r w:rsidRPr="007557F0">
        <w:rPr>
          <w:rFonts w:cs="HelveticaNeue-BoldCond"/>
          <w:bCs/>
          <w:sz w:val="16"/>
          <w:szCs w:val="16"/>
        </w:rPr>
        <w:t>.03) relative to patients with 25-hydroxyvitamin</w:t>
      </w:r>
      <w:r>
        <w:rPr>
          <w:rFonts w:cs="HelveticaNeue-BoldCond"/>
          <w:bCs/>
          <w:sz w:val="16"/>
          <w:szCs w:val="16"/>
        </w:rPr>
        <w:t xml:space="preserve"> </w:t>
      </w:r>
      <w:r w:rsidRPr="007557F0">
        <w:rPr>
          <w:rFonts w:cs="HelveticaNeue-BoldCond"/>
          <w:bCs/>
          <w:sz w:val="16"/>
          <w:szCs w:val="16"/>
        </w:rPr>
        <w:t>D sufficiency, which remains significant following multivariable adjustment</w:t>
      </w:r>
    </w:p>
    <w:p w:rsidR="007557F0" w:rsidRPr="007557F0" w:rsidRDefault="007557F0" w:rsidP="007557F0">
      <w:pPr>
        <w:autoSpaceDE w:val="0"/>
        <w:autoSpaceDN w:val="0"/>
        <w:adjustRightInd w:val="0"/>
        <w:spacing w:after="0" w:line="240" w:lineRule="auto"/>
        <w:rPr>
          <w:rFonts w:cs="HelveticaNeue-BoldCond"/>
          <w:bCs/>
          <w:sz w:val="16"/>
          <w:szCs w:val="16"/>
        </w:rPr>
      </w:pPr>
      <w:r w:rsidRPr="007557F0">
        <w:rPr>
          <w:rFonts w:cs="HelveticaNeue-BoldCond"/>
          <w:bCs/>
          <w:sz w:val="16"/>
          <w:szCs w:val="16"/>
        </w:rPr>
        <w:t>(odds ratio of 1.58, 95% confidence interval of 1.01–2.49,</w:t>
      </w:r>
      <w:r>
        <w:rPr>
          <w:rFonts w:cs="HelveticaNeue-BoldCond"/>
          <w:bCs/>
          <w:sz w:val="16"/>
          <w:szCs w:val="16"/>
        </w:rPr>
        <w:t xml:space="preserve"> </w:t>
      </w:r>
      <w:r w:rsidRPr="007557F0">
        <w:rPr>
          <w:rFonts w:cs="HelveticaNeue-BoldCondObl"/>
          <w:bCs/>
          <w:i/>
          <w:iCs/>
          <w:sz w:val="16"/>
          <w:szCs w:val="16"/>
        </w:rPr>
        <w:t xml:space="preserve">p </w:t>
      </w:r>
      <w:r w:rsidRPr="007557F0">
        <w:rPr>
          <w:rFonts w:cs="MathematicalPi-Four"/>
          <w:sz w:val="16"/>
          <w:szCs w:val="16"/>
        </w:rPr>
        <w:t xml:space="preserve">_ </w:t>
      </w:r>
      <w:r w:rsidRPr="007557F0">
        <w:rPr>
          <w:rFonts w:cs="HelveticaNeue-BoldCond"/>
          <w:bCs/>
          <w:sz w:val="16"/>
          <w:szCs w:val="16"/>
        </w:rPr>
        <w:t>.048).</w:t>
      </w:r>
    </w:p>
    <w:p w:rsidR="007557F0" w:rsidRPr="007557F0" w:rsidRDefault="007557F0" w:rsidP="007557F0">
      <w:pPr>
        <w:autoSpaceDE w:val="0"/>
        <w:autoSpaceDN w:val="0"/>
        <w:adjustRightInd w:val="0"/>
        <w:spacing w:after="0" w:line="240" w:lineRule="auto"/>
        <w:rPr>
          <w:rFonts w:cs="HelveticaNeue-BoldCond"/>
          <w:bCs/>
          <w:sz w:val="16"/>
          <w:szCs w:val="16"/>
        </w:rPr>
      </w:pPr>
      <w:r w:rsidRPr="007557F0">
        <w:rPr>
          <w:rFonts w:cs="HelveticaNeue-BoldCondObl"/>
          <w:bCs/>
          <w:i/>
          <w:iCs/>
          <w:sz w:val="16"/>
          <w:szCs w:val="16"/>
        </w:rPr>
        <w:t xml:space="preserve">Conclusion: </w:t>
      </w:r>
      <w:r w:rsidRPr="007557F0">
        <w:rPr>
          <w:rFonts w:cs="HelveticaNeue-BoldCond"/>
          <w:bCs/>
          <w:sz w:val="16"/>
          <w:szCs w:val="16"/>
        </w:rPr>
        <w:t>Deficiency of 25-hydroxyvitamin D before hospital</w:t>
      </w:r>
      <w:r>
        <w:rPr>
          <w:rFonts w:cs="HelveticaNeue-BoldCond"/>
          <w:bCs/>
          <w:sz w:val="16"/>
          <w:szCs w:val="16"/>
        </w:rPr>
        <w:t xml:space="preserve"> </w:t>
      </w:r>
      <w:r w:rsidRPr="007557F0">
        <w:rPr>
          <w:rFonts w:cs="HelveticaNeue-BoldCond"/>
          <w:bCs/>
          <w:sz w:val="16"/>
          <w:szCs w:val="16"/>
        </w:rPr>
        <w:t>admission is a significant predictor of short- and long-term allcause</w:t>
      </w:r>
      <w:r>
        <w:rPr>
          <w:rFonts w:cs="HelveticaNeue-BoldCond"/>
          <w:bCs/>
          <w:sz w:val="16"/>
          <w:szCs w:val="16"/>
        </w:rPr>
        <w:t xml:space="preserve"> </w:t>
      </w:r>
      <w:r w:rsidRPr="007557F0">
        <w:rPr>
          <w:rFonts w:cs="HelveticaNeue-BoldCond"/>
          <w:bCs/>
          <w:sz w:val="16"/>
          <w:szCs w:val="16"/>
        </w:rPr>
        <w:t>patient mortality and blood culture positivity in a critically</w:t>
      </w:r>
      <w:r>
        <w:rPr>
          <w:rFonts w:cs="HelveticaNeue-BoldCond"/>
          <w:bCs/>
          <w:sz w:val="16"/>
          <w:szCs w:val="16"/>
        </w:rPr>
        <w:t xml:space="preserve"> </w:t>
      </w:r>
      <w:r w:rsidRPr="007557F0">
        <w:rPr>
          <w:rFonts w:cs="HelveticaNeue-BoldCond"/>
          <w:bCs/>
          <w:sz w:val="16"/>
          <w:szCs w:val="16"/>
        </w:rPr>
        <w:t xml:space="preserve">ill patient population. </w:t>
      </w:r>
    </w:p>
    <w:p w:rsidR="007557F0" w:rsidRPr="007557F0" w:rsidRDefault="007557F0" w:rsidP="00183EAE">
      <w:pPr>
        <w:spacing w:after="0" w:line="240" w:lineRule="auto"/>
        <w:rPr>
          <w:sz w:val="18"/>
          <w:szCs w:val="18"/>
        </w:rPr>
      </w:pPr>
    </w:p>
    <w:p w:rsidR="00A11052" w:rsidRPr="00E519FC" w:rsidRDefault="00A11052" w:rsidP="00E519FC">
      <w:pPr>
        <w:autoSpaceDE w:val="0"/>
        <w:autoSpaceDN w:val="0"/>
        <w:adjustRightInd w:val="0"/>
        <w:spacing w:after="0" w:line="240" w:lineRule="auto"/>
        <w:rPr>
          <w:rFonts w:ascii="Clearface-Regular" w:hAnsi="Clearface-Regular" w:cs="Clearface-Regular"/>
          <w:sz w:val="17"/>
          <w:szCs w:val="17"/>
        </w:rPr>
      </w:pPr>
      <w:r>
        <w:rPr>
          <w:sz w:val="18"/>
          <w:szCs w:val="18"/>
        </w:rPr>
        <w:t>•</w:t>
      </w:r>
      <w:r w:rsidR="00E519FC" w:rsidRPr="00E519FC">
        <w:rPr>
          <w:rFonts w:ascii="Clearface-Regular" w:hAnsi="Clearface-Regular" w:cs="Clearface-Regular"/>
          <w:sz w:val="17"/>
          <w:szCs w:val="17"/>
        </w:rPr>
        <w:t xml:space="preserve"> </w:t>
      </w:r>
      <w:r w:rsidR="00E519FC" w:rsidRPr="00E519FC">
        <w:rPr>
          <w:rFonts w:cs="Clearface-Regular"/>
          <w:sz w:val="18"/>
          <w:szCs w:val="18"/>
        </w:rPr>
        <w:t>Patients were included if they had 25(OH)D measured between 7 and 365 days of hospital admission</w:t>
      </w:r>
      <w:r w:rsidR="00E519FC">
        <w:rPr>
          <w:rFonts w:cs="Clearface-Regular"/>
          <w:sz w:val="18"/>
          <w:szCs w:val="18"/>
        </w:rPr>
        <w:t>.</w:t>
      </w:r>
      <w:r w:rsidR="00E519FC">
        <w:rPr>
          <w:rFonts w:ascii="Clearface-Regular" w:hAnsi="Clearface-Regular" w:cs="Clearface-Regular"/>
          <w:sz w:val="17"/>
          <w:szCs w:val="17"/>
        </w:rPr>
        <w:t xml:space="preserve"> </w:t>
      </w:r>
      <w:r w:rsidRPr="00E519FC">
        <w:rPr>
          <w:rFonts w:cs="Clearface-Regular"/>
          <w:sz w:val="18"/>
          <w:szCs w:val="18"/>
        </w:rPr>
        <w:t>The majority of vitamin D measurements occurred 3 months before ICU admission (29.8% within 1 month, 51.6% within 3 months, and 73.3% within 6 months).</w:t>
      </w:r>
      <w:r w:rsidR="00E519FC">
        <w:rPr>
          <w:rFonts w:cs="Clearface-Regular"/>
          <w:sz w:val="18"/>
          <w:szCs w:val="18"/>
        </w:rPr>
        <w:t xml:space="preserve"> Patients were excluded if they received Vitamin D supplementation.</w:t>
      </w:r>
    </w:p>
    <w:p w:rsidR="00E519FC" w:rsidRPr="00E519FC" w:rsidRDefault="00A11052" w:rsidP="00183EAE">
      <w:pPr>
        <w:spacing w:after="0" w:line="240" w:lineRule="auto"/>
        <w:rPr>
          <w:rFonts w:cs="HelveticaNeue-BoldCond"/>
          <w:bCs/>
          <w:sz w:val="18"/>
          <w:szCs w:val="18"/>
        </w:rPr>
      </w:pPr>
      <w:r>
        <w:rPr>
          <w:sz w:val="18"/>
          <w:szCs w:val="18"/>
        </w:rPr>
        <w:t>•</w:t>
      </w:r>
      <w:r w:rsidR="00E519FC">
        <w:rPr>
          <w:sz w:val="18"/>
          <w:szCs w:val="18"/>
        </w:rPr>
        <w:t xml:space="preserve"> </w:t>
      </w:r>
      <w:r w:rsidR="00E519FC">
        <w:rPr>
          <w:rFonts w:cs="HelveticaNeue-BoldCond"/>
          <w:bCs/>
          <w:sz w:val="18"/>
          <w:szCs w:val="18"/>
        </w:rPr>
        <w:t xml:space="preserve"> </w:t>
      </w:r>
      <w:r w:rsidR="00E519FC" w:rsidRPr="00E519FC">
        <w:rPr>
          <w:rFonts w:cs="Clearface-Regular"/>
          <w:sz w:val="18"/>
          <w:szCs w:val="18"/>
        </w:rPr>
        <w:t>Preadmission 25(OH)D deficiency was a significant predictor of 30, 90, and 365 post-ICU day mortality as well as in-hospital mortality and remained a significant predictor of survival following multivariable adjustments for relevant comorbidities.</w:t>
      </w:r>
    </w:p>
    <w:p w:rsidR="00A11052" w:rsidRPr="00E519FC" w:rsidRDefault="00A11052" w:rsidP="00E519FC">
      <w:pPr>
        <w:autoSpaceDE w:val="0"/>
        <w:autoSpaceDN w:val="0"/>
        <w:adjustRightInd w:val="0"/>
        <w:spacing w:after="0" w:line="240" w:lineRule="auto"/>
        <w:rPr>
          <w:rFonts w:ascii="Clearface-Regular" w:hAnsi="Clearface-Regular" w:cs="Clearface-Regular"/>
          <w:sz w:val="19"/>
          <w:szCs w:val="19"/>
        </w:rPr>
      </w:pPr>
      <w:r>
        <w:rPr>
          <w:sz w:val="18"/>
          <w:szCs w:val="18"/>
        </w:rPr>
        <w:t>•</w:t>
      </w:r>
      <w:r w:rsidRPr="00E519FC">
        <w:rPr>
          <w:rFonts w:cs="Clearface-Regular"/>
          <w:sz w:val="18"/>
          <w:szCs w:val="18"/>
        </w:rPr>
        <w:t>In a subgroup analysis of patients who</w:t>
      </w:r>
      <w:r w:rsidR="00E519FC" w:rsidRPr="00E519FC">
        <w:rPr>
          <w:rFonts w:cs="Clearface-Regular"/>
          <w:sz w:val="18"/>
          <w:szCs w:val="18"/>
        </w:rPr>
        <w:t xml:space="preserve"> had </w:t>
      </w:r>
      <w:r w:rsidRPr="00E519FC">
        <w:rPr>
          <w:rFonts w:cs="Clearface-Regular"/>
          <w:sz w:val="18"/>
          <w:szCs w:val="18"/>
        </w:rPr>
        <w:t xml:space="preserve">blood cultures drawn (n </w:t>
      </w:r>
      <w:r w:rsidR="00E519FC" w:rsidRPr="00E519FC">
        <w:rPr>
          <w:rFonts w:cs="Universal-GreekwithMathPi"/>
          <w:sz w:val="18"/>
          <w:szCs w:val="18"/>
        </w:rPr>
        <w:t>=</w:t>
      </w:r>
      <w:r w:rsidRPr="00E519FC">
        <w:rPr>
          <w:rFonts w:cs="Universal-GreekwithMathPi"/>
          <w:sz w:val="18"/>
          <w:szCs w:val="18"/>
        </w:rPr>
        <w:t xml:space="preserve"> </w:t>
      </w:r>
      <w:r w:rsidRPr="00E519FC">
        <w:rPr>
          <w:rFonts w:cs="Clearface-Regular"/>
          <w:sz w:val="18"/>
          <w:szCs w:val="18"/>
        </w:rPr>
        <w:t>1160),</w:t>
      </w:r>
      <w:r w:rsidR="00E519FC" w:rsidRPr="00E519FC">
        <w:rPr>
          <w:rFonts w:cs="Clearface-Regular"/>
          <w:sz w:val="18"/>
          <w:szCs w:val="18"/>
        </w:rPr>
        <w:t xml:space="preserve"> </w:t>
      </w:r>
      <w:r w:rsidRPr="00E519FC">
        <w:rPr>
          <w:rFonts w:cs="Clearface-Regular"/>
          <w:sz w:val="18"/>
          <w:szCs w:val="18"/>
        </w:rPr>
        <w:t>preadmission 25(OH)D deficiency was associated</w:t>
      </w:r>
      <w:r w:rsidR="00E519FC" w:rsidRPr="00E519FC">
        <w:rPr>
          <w:rFonts w:cs="Clearface-Regular"/>
          <w:sz w:val="18"/>
          <w:szCs w:val="18"/>
        </w:rPr>
        <w:t xml:space="preserve"> </w:t>
      </w:r>
      <w:r w:rsidRPr="00E519FC">
        <w:rPr>
          <w:rFonts w:cs="Clearface-Regular"/>
          <w:sz w:val="18"/>
          <w:szCs w:val="18"/>
        </w:rPr>
        <w:t>with increased risk of blood culture</w:t>
      </w:r>
      <w:r w:rsidR="00E519FC" w:rsidRPr="00E519FC">
        <w:rPr>
          <w:rFonts w:cs="Clearface-Regular"/>
          <w:sz w:val="18"/>
          <w:szCs w:val="18"/>
        </w:rPr>
        <w:t xml:space="preserve"> </w:t>
      </w:r>
      <w:r w:rsidRPr="00E519FC">
        <w:rPr>
          <w:rFonts w:cs="Clearface-Regular"/>
          <w:sz w:val="18"/>
          <w:szCs w:val="18"/>
        </w:rPr>
        <w:t>positivity</w:t>
      </w:r>
    </w:p>
    <w:p w:rsidR="007557F0" w:rsidRDefault="007557F0" w:rsidP="00183EAE">
      <w:pPr>
        <w:spacing w:after="0" w:line="240" w:lineRule="auto"/>
        <w:rPr>
          <w:sz w:val="18"/>
          <w:szCs w:val="18"/>
        </w:rPr>
      </w:pPr>
    </w:p>
    <w:p w:rsidR="007557F0" w:rsidRDefault="007557F0" w:rsidP="00183EAE">
      <w:pPr>
        <w:spacing w:after="0" w:line="240" w:lineRule="auto"/>
        <w:rPr>
          <w:sz w:val="18"/>
          <w:szCs w:val="18"/>
        </w:rPr>
      </w:pPr>
    </w:p>
    <w:p w:rsidR="007557F0" w:rsidRDefault="00703534" w:rsidP="00183EAE">
      <w:pPr>
        <w:spacing w:after="0" w:line="240" w:lineRule="auto"/>
        <w:rPr>
          <w:sz w:val="18"/>
          <w:szCs w:val="18"/>
        </w:rPr>
      </w:pPr>
      <w:r>
        <w:rPr>
          <w:sz w:val="18"/>
          <w:szCs w:val="18"/>
        </w:rPr>
        <w:t>1. In the 2011 study by Braun et al, which of the following were significantly associated with Vitamin D deficiency?</w:t>
      </w:r>
    </w:p>
    <w:p w:rsidR="00703534" w:rsidRDefault="00703534" w:rsidP="00183EAE">
      <w:pPr>
        <w:spacing w:after="0" w:line="240" w:lineRule="auto"/>
        <w:rPr>
          <w:sz w:val="18"/>
          <w:szCs w:val="18"/>
        </w:rPr>
      </w:pPr>
      <w:r>
        <w:rPr>
          <w:sz w:val="18"/>
          <w:szCs w:val="18"/>
        </w:rPr>
        <w:tab/>
        <w:t>a. Increased risk of blood culture positivity</w:t>
      </w:r>
    </w:p>
    <w:p w:rsidR="00703534" w:rsidRDefault="00703534" w:rsidP="00183EAE">
      <w:pPr>
        <w:spacing w:after="0" w:line="240" w:lineRule="auto"/>
        <w:rPr>
          <w:sz w:val="18"/>
          <w:szCs w:val="18"/>
        </w:rPr>
      </w:pPr>
      <w:r>
        <w:rPr>
          <w:sz w:val="18"/>
          <w:szCs w:val="18"/>
        </w:rPr>
        <w:tab/>
        <w:t>b. In-hospital mortality</w:t>
      </w:r>
    </w:p>
    <w:p w:rsidR="00703534" w:rsidRDefault="00703534" w:rsidP="00183EAE">
      <w:pPr>
        <w:spacing w:after="0" w:line="240" w:lineRule="auto"/>
        <w:rPr>
          <w:sz w:val="18"/>
          <w:szCs w:val="18"/>
        </w:rPr>
      </w:pPr>
      <w:r>
        <w:rPr>
          <w:sz w:val="18"/>
          <w:szCs w:val="18"/>
        </w:rPr>
        <w:tab/>
        <w:t>c. Short-term mortality</w:t>
      </w:r>
    </w:p>
    <w:p w:rsidR="00703534" w:rsidRDefault="00703534" w:rsidP="00183EAE">
      <w:pPr>
        <w:spacing w:after="0" w:line="240" w:lineRule="auto"/>
        <w:rPr>
          <w:sz w:val="18"/>
          <w:szCs w:val="18"/>
        </w:rPr>
      </w:pPr>
      <w:r>
        <w:rPr>
          <w:sz w:val="18"/>
          <w:szCs w:val="18"/>
        </w:rPr>
        <w:tab/>
        <w:t>d. Long-term mortality</w:t>
      </w:r>
    </w:p>
    <w:p w:rsidR="00703534" w:rsidRDefault="00703534" w:rsidP="00183EAE">
      <w:pPr>
        <w:spacing w:after="0" w:line="240" w:lineRule="auto"/>
        <w:rPr>
          <w:sz w:val="18"/>
          <w:szCs w:val="18"/>
        </w:rPr>
      </w:pPr>
      <w:r>
        <w:rPr>
          <w:sz w:val="18"/>
          <w:szCs w:val="18"/>
        </w:rPr>
        <w:tab/>
      </w:r>
      <w:r w:rsidRPr="00703534">
        <w:rPr>
          <w:sz w:val="18"/>
          <w:szCs w:val="18"/>
          <w:highlight w:val="yellow"/>
        </w:rPr>
        <w:t>e. All of the above</w:t>
      </w:r>
    </w:p>
    <w:p w:rsidR="00703534" w:rsidRDefault="00703534" w:rsidP="00183EAE">
      <w:pPr>
        <w:spacing w:after="0" w:line="240" w:lineRule="auto"/>
        <w:rPr>
          <w:sz w:val="18"/>
          <w:szCs w:val="18"/>
        </w:rPr>
      </w:pPr>
    </w:p>
    <w:p w:rsidR="00703534" w:rsidRDefault="00703534" w:rsidP="00703534">
      <w:pPr>
        <w:autoSpaceDE w:val="0"/>
        <w:autoSpaceDN w:val="0"/>
        <w:adjustRightInd w:val="0"/>
        <w:spacing w:after="0" w:line="240" w:lineRule="auto"/>
        <w:rPr>
          <w:rFonts w:cs="Clearface-Regular"/>
          <w:sz w:val="18"/>
          <w:szCs w:val="18"/>
        </w:rPr>
      </w:pPr>
      <w:r>
        <w:rPr>
          <w:sz w:val="18"/>
          <w:szCs w:val="18"/>
        </w:rPr>
        <w:t xml:space="preserve">2. </w:t>
      </w:r>
      <w:r w:rsidR="00B71BE8">
        <w:rPr>
          <w:sz w:val="18"/>
          <w:szCs w:val="18"/>
        </w:rPr>
        <w:t xml:space="preserve">All of the following are true in regards to </w:t>
      </w:r>
      <w:r w:rsidRPr="00703534">
        <w:rPr>
          <w:rFonts w:cs="Clearface-Regular"/>
          <w:sz w:val="18"/>
          <w:szCs w:val="18"/>
        </w:rPr>
        <w:t>1,25(OH)2D</w:t>
      </w:r>
      <w:r w:rsidR="00B71BE8">
        <w:rPr>
          <w:rFonts w:cs="Clearface-Regular"/>
          <w:sz w:val="18"/>
          <w:szCs w:val="18"/>
        </w:rPr>
        <w:t xml:space="preserve"> (Vitamin D) EXCEPT:</w:t>
      </w:r>
    </w:p>
    <w:p w:rsidR="00B71BE8" w:rsidRDefault="00B71BE8" w:rsidP="00B71BE8">
      <w:pPr>
        <w:autoSpaceDE w:val="0"/>
        <w:autoSpaceDN w:val="0"/>
        <w:adjustRightInd w:val="0"/>
        <w:spacing w:after="0" w:line="240" w:lineRule="auto"/>
        <w:rPr>
          <w:rFonts w:cs="Clearface-Regular"/>
          <w:sz w:val="18"/>
          <w:szCs w:val="18"/>
        </w:rPr>
      </w:pPr>
      <w:r>
        <w:rPr>
          <w:rFonts w:cs="Clearface-Regular"/>
          <w:sz w:val="18"/>
          <w:szCs w:val="18"/>
        </w:rPr>
        <w:tab/>
        <w:t xml:space="preserve">a. </w:t>
      </w:r>
      <w:r w:rsidRPr="00B71BE8">
        <w:rPr>
          <w:rFonts w:cs="Clearface-Regular"/>
          <w:sz w:val="18"/>
          <w:szCs w:val="18"/>
        </w:rPr>
        <w:t>inhibits vascular smooth-muscle cell</w:t>
      </w:r>
      <w:r>
        <w:rPr>
          <w:rFonts w:cs="Clearface-Regular"/>
          <w:sz w:val="18"/>
          <w:szCs w:val="18"/>
        </w:rPr>
        <w:t xml:space="preserve"> proliferation </w:t>
      </w:r>
    </w:p>
    <w:p w:rsidR="00B71BE8" w:rsidRDefault="00B71BE8" w:rsidP="00B71BE8">
      <w:pPr>
        <w:autoSpaceDE w:val="0"/>
        <w:autoSpaceDN w:val="0"/>
        <w:adjustRightInd w:val="0"/>
        <w:spacing w:after="0" w:line="240" w:lineRule="auto"/>
        <w:rPr>
          <w:rFonts w:cs="Clearface-Regular"/>
          <w:sz w:val="18"/>
          <w:szCs w:val="18"/>
        </w:rPr>
      </w:pPr>
      <w:r>
        <w:rPr>
          <w:rFonts w:cs="Clearface-Regular"/>
          <w:sz w:val="18"/>
          <w:szCs w:val="18"/>
        </w:rPr>
        <w:tab/>
      </w:r>
      <w:r w:rsidRPr="00B71BE8">
        <w:rPr>
          <w:rFonts w:cs="Clearface-Regular"/>
          <w:sz w:val="18"/>
          <w:szCs w:val="18"/>
          <w:highlight w:val="yellow"/>
        </w:rPr>
        <w:t>b. stimulates the adaptive immune response</w:t>
      </w:r>
    </w:p>
    <w:p w:rsidR="00B71BE8" w:rsidRPr="00B71BE8" w:rsidRDefault="00B71BE8" w:rsidP="00B71BE8">
      <w:pPr>
        <w:autoSpaceDE w:val="0"/>
        <w:autoSpaceDN w:val="0"/>
        <w:adjustRightInd w:val="0"/>
        <w:spacing w:after="0" w:line="240" w:lineRule="auto"/>
        <w:rPr>
          <w:rFonts w:cs="Clearface-Regular"/>
          <w:sz w:val="18"/>
          <w:szCs w:val="18"/>
        </w:rPr>
      </w:pPr>
      <w:r>
        <w:rPr>
          <w:rFonts w:cs="Clearface-Regular"/>
          <w:sz w:val="18"/>
          <w:szCs w:val="18"/>
        </w:rPr>
        <w:tab/>
        <w:t xml:space="preserve">c. </w:t>
      </w:r>
      <w:r w:rsidRPr="00B71BE8">
        <w:rPr>
          <w:rFonts w:cs="Clearface-Regular"/>
          <w:sz w:val="18"/>
          <w:szCs w:val="18"/>
        </w:rPr>
        <w:t>is a</w:t>
      </w:r>
      <w:r>
        <w:rPr>
          <w:rFonts w:cs="Clearface-Regular"/>
          <w:sz w:val="18"/>
          <w:szCs w:val="18"/>
        </w:rPr>
        <w:t xml:space="preserve"> </w:t>
      </w:r>
      <w:r w:rsidRPr="00B71BE8">
        <w:rPr>
          <w:rFonts w:cs="Clearface-Regular"/>
          <w:sz w:val="18"/>
          <w:szCs w:val="18"/>
        </w:rPr>
        <w:t>key link between Toll-like receptor activation</w:t>
      </w:r>
      <w:r>
        <w:rPr>
          <w:rFonts w:cs="Clearface-Regular"/>
          <w:sz w:val="18"/>
          <w:szCs w:val="18"/>
        </w:rPr>
        <w:t xml:space="preserve"> </w:t>
      </w:r>
      <w:r w:rsidRPr="00B71BE8">
        <w:rPr>
          <w:rFonts w:cs="Clearface-Regular"/>
          <w:sz w:val="18"/>
          <w:szCs w:val="18"/>
        </w:rPr>
        <w:t>and antibacterial responses in innate</w:t>
      </w:r>
      <w:r>
        <w:rPr>
          <w:rFonts w:cs="Clearface-Regular"/>
          <w:sz w:val="18"/>
          <w:szCs w:val="18"/>
        </w:rPr>
        <w:t xml:space="preserve"> </w:t>
      </w:r>
      <w:r w:rsidRPr="00B71BE8">
        <w:rPr>
          <w:rFonts w:cs="Clearface-Regular"/>
          <w:sz w:val="18"/>
          <w:szCs w:val="18"/>
        </w:rPr>
        <w:t>immunity</w:t>
      </w:r>
    </w:p>
    <w:p w:rsidR="00B71BE8" w:rsidRPr="00B71BE8" w:rsidRDefault="00B71BE8" w:rsidP="00B71BE8">
      <w:pPr>
        <w:autoSpaceDE w:val="0"/>
        <w:autoSpaceDN w:val="0"/>
        <w:adjustRightInd w:val="0"/>
        <w:spacing w:after="0" w:line="240" w:lineRule="auto"/>
        <w:rPr>
          <w:rFonts w:cs="Clearface-Regular"/>
          <w:sz w:val="18"/>
          <w:szCs w:val="18"/>
        </w:rPr>
      </w:pPr>
      <w:r>
        <w:rPr>
          <w:rFonts w:cs="Clearface-Regular"/>
          <w:sz w:val="18"/>
          <w:szCs w:val="18"/>
        </w:rPr>
        <w:tab/>
        <w:t>d. stimulates innate immune cells</w:t>
      </w:r>
    </w:p>
    <w:p w:rsidR="00B71BE8" w:rsidRDefault="00B71BE8" w:rsidP="00703534">
      <w:pPr>
        <w:autoSpaceDE w:val="0"/>
        <w:autoSpaceDN w:val="0"/>
        <w:adjustRightInd w:val="0"/>
        <w:spacing w:after="0" w:line="240" w:lineRule="auto"/>
        <w:rPr>
          <w:rFonts w:ascii="Clearface-Regular" w:hAnsi="Clearface-Regular" w:cs="Clearface-Regular"/>
          <w:sz w:val="20"/>
          <w:szCs w:val="20"/>
        </w:rPr>
      </w:pPr>
    </w:p>
    <w:p w:rsidR="007557F0" w:rsidRPr="000800F2" w:rsidRDefault="00B71BE8" w:rsidP="00373FC6">
      <w:pPr>
        <w:autoSpaceDE w:val="0"/>
        <w:autoSpaceDN w:val="0"/>
        <w:adjustRightInd w:val="0"/>
        <w:spacing w:after="0" w:line="240" w:lineRule="auto"/>
        <w:rPr>
          <w:sz w:val="18"/>
          <w:szCs w:val="18"/>
        </w:rPr>
      </w:pPr>
      <w:r w:rsidRPr="00373FC6">
        <w:rPr>
          <w:rFonts w:cs="Clearface-Regular"/>
          <w:sz w:val="18"/>
          <w:szCs w:val="18"/>
        </w:rPr>
        <w:t>The mechanism for increased mortality following ICU admission in patients with hypovitaminosis D may be related to the pleiotropic functions of vitamin D. Vitamin D inhibits vascular smooth-muscle cell proliferation, protects normal endothelial function, and modulates inflammatory processes. The primary effect of 1,25(OH)2D on the adaptive immune response is inhibitory, however effects on innate immune cells can be stimulatory. In vitamin D-deficiency, prior studies show defects in macrophage functions, such as phagocytosis, chemotaxis, and proinflammatory cytokine production. Vitamin D is a key link between Toll-like receptor activation and antibacterial responses in innate immunity. Toll-like receptor stimulation of human macrophages induces conversion of 25(OH)D to active 1,25(OH)2D, expression of the vitamin D receptor, and production of cathelicidin, a downstream target of the vitamin D receptor capable of promoting innate immunity.</w:t>
      </w:r>
    </w:p>
    <w:sectPr w:rsidR="007557F0" w:rsidRPr="000800F2" w:rsidSect="00FF266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3441" w:rsidRDefault="006B3441" w:rsidP="009A6ADC">
      <w:pPr>
        <w:spacing w:after="0" w:line="240" w:lineRule="auto"/>
      </w:pPr>
      <w:r>
        <w:separator/>
      </w:r>
    </w:p>
  </w:endnote>
  <w:endnote w:type="continuationSeparator" w:id="0">
    <w:p w:rsidR="006B3441" w:rsidRDefault="006B3441" w:rsidP="009A6A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HelveticaNeue-BoldCond">
    <w:panose1 w:val="00000000000000000000"/>
    <w:charset w:val="00"/>
    <w:family w:val="swiss"/>
    <w:notTrueType/>
    <w:pitch w:val="default"/>
    <w:sig w:usb0="00000003" w:usb1="00000000" w:usb2="00000000" w:usb3="00000000" w:csb0="00000001" w:csb1="00000000"/>
  </w:font>
  <w:font w:name="Clearface-Bold">
    <w:panose1 w:val="00000000000000000000"/>
    <w:charset w:val="00"/>
    <w:family w:val="roman"/>
    <w:notTrueType/>
    <w:pitch w:val="default"/>
    <w:sig w:usb0="00000003" w:usb1="00000000" w:usb2="00000000" w:usb3="00000000" w:csb0="00000001" w:csb1="00000000"/>
  </w:font>
  <w:font w:name="HelveticaNeue-Condensed">
    <w:panose1 w:val="00000000000000000000"/>
    <w:charset w:val="00"/>
    <w:family w:val="swiss"/>
    <w:notTrueType/>
    <w:pitch w:val="default"/>
    <w:sig w:usb0="00000003" w:usb1="00000000" w:usb2="00000000" w:usb3="00000000" w:csb0="00000001" w:csb1="00000000"/>
  </w:font>
  <w:font w:name="HelveticaNeue-BoldCondObl">
    <w:panose1 w:val="00000000000000000000"/>
    <w:charset w:val="00"/>
    <w:family w:val="swiss"/>
    <w:notTrueType/>
    <w:pitch w:val="default"/>
    <w:sig w:usb0="00000003" w:usb1="00000000" w:usb2="00000000" w:usb3="00000000" w:csb0="00000001" w:csb1="00000000"/>
  </w:font>
  <w:font w:name="OurOwn-CJS">
    <w:panose1 w:val="00000000000000000000"/>
    <w:charset w:val="00"/>
    <w:family w:val="auto"/>
    <w:notTrueType/>
    <w:pitch w:val="default"/>
    <w:sig w:usb0="00000003" w:usb1="00000000" w:usb2="00000000" w:usb3="00000000" w:csb0="00000001" w:csb1="00000000"/>
  </w:font>
  <w:font w:name="MathematicalPi-Four">
    <w:panose1 w:val="00000000000000000000"/>
    <w:charset w:val="00"/>
    <w:family w:val="auto"/>
    <w:notTrueType/>
    <w:pitch w:val="default"/>
    <w:sig w:usb0="00000003" w:usb1="00000000" w:usb2="00000000" w:usb3="00000000" w:csb0="00000001" w:csb1="00000000"/>
  </w:font>
  <w:font w:name="Dutch801BT-Bold">
    <w:panose1 w:val="00000000000000000000"/>
    <w:charset w:val="00"/>
    <w:family w:val="roman"/>
    <w:notTrueType/>
    <w:pitch w:val="default"/>
    <w:sig w:usb0="00000003" w:usb1="00000000" w:usb2="00000000" w:usb3="00000000" w:csb0="00000001" w:csb1="00000000"/>
  </w:font>
  <w:font w:name="Clearface-Regular">
    <w:panose1 w:val="00000000000000000000"/>
    <w:charset w:val="00"/>
    <w:family w:val="roman"/>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Universal-GreekwithMathP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ADC" w:rsidRDefault="009A6AD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ADC" w:rsidRDefault="009A6AD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ADC" w:rsidRDefault="009A6AD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3441" w:rsidRDefault="006B3441" w:rsidP="009A6ADC">
      <w:pPr>
        <w:spacing w:after="0" w:line="240" w:lineRule="auto"/>
      </w:pPr>
      <w:r>
        <w:separator/>
      </w:r>
    </w:p>
  </w:footnote>
  <w:footnote w:type="continuationSeparator" w:id="0">
    <w:p w:rsidR="006B3441" w:rsidRDefault="006B3441" w:rsidP="009A6A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ADC" w:rsidRDefault="009A6AD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ADC" w:rsidRDefault="009A6AD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ADC" w:rsidRDefault="009A6AD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revisionView w:inkAnnotations="0"/>
  <w:defaultTabStop w:val="720"/>
  <w:characterSpacingControl w:val="doNotCompress"/>
  <w:footnotePr>
    <w:footnote w:id="-1"/>
    <w:footnote w:id="0"/>
  </w:footnotePr>
  <w:endnotePr>
    <w:endnote w:id="-1"/>
    <w:endnote w:id="0"/>
  </w:endnotePr>
  <w:compat/>
  <w:rsids>
    <w:rsidRoot w:val="008F61F0"/>
    <w:rsid w:val="000800F2"/>
    <w:rsid w:val="001233E7"/>
    <w:rsid w:val="00183EAE"/>
    <w:rsid w:val="001964D9"/>
    <w:rsid w:val="00373FC6"/>
    <w:rsid w:val="00512C13"/>
    <w:rsid w:val="006B3441"/>
    <w:rsid w:val="00703534"/>
    <w:rsid w:val="007557F0"/>
    <w:rsid w:val="0087217A"/>
    <w:rsid w:val="008F61F0"/>
    <w:rsid w:val="009A6ADC"/>
    <w:rsid w:val="009A799E"/>
    <w:rsid w:val="00A11052"/>
    <w:rsid w:val="00B618B6"/>
    <w:rsid w:val="00B71BE8"/>
    <w:rsid w:val="00BC3B7F"/>
    <w:rsid w:val="00BD3185"/>
    <w:rsid w:val="00C457AA"/>
    <w:rsid w:val="00E519FC"/>
    <w:rsid w:val="00EC6229"/>
    <w:rsid w:val="00EF45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B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64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64D9"/>
    <w:rPr>
      <w:rFonts w:ascii="Tahoma" w:hAnsi="Tahoma" w:cs="Tahoma"/>
      <w:sz w:val="16"/>
      <w:szCs w:val="16"/>
    </w:rPr>
  </w:style>
  <w:style w:type="paragraph" w:styleId="Header">
    <w:name w:val="header"/>
    <w:basedOn w:val="Normal"/>
    <w:link w:val="HeaderChar"/>
    <w:uiPriority w:val="99"/>
    <w:semiHidden/>
    <w:unhideWhenUsed/>
    <w:rsid w:val="009A6AD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A6ADC"/>
  </w:style>
  <w:style w:type="paragraph" w:styleId="Footer">
    <w:name w:val="footer"/>
    <w:basedOn w:val="Normal"/>
    <w:link w:val="FooterChar"/>
    <w:uiPriority w:val="99"/>
    <w:semiHidden/>
    <w:unhideWhenUsed/>
    <w:rsid w:val="009A6AD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A6ADC"/>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4</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13608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jrs455</dc:creator>
  <cp:keywords/>
  <dc:description/>
  <cp:lastModifiedBy>jrs455</cp:lastModifiedBy>
  <cp:revision>16</cp:revision>
  <dcterms:created xsi:type="dcterms:W3CDTF">2011-04-07T14:38:00Z</dcterms:created>
  <dcterms:modified xsi:type="dcterms:W3CDTF">2011-04-07T15:51:00Z</dcterms:modified>
</cp:coreProperties>
</file>