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r w:rsidRPr="00D97236">
        <w:rPr>
          <w:rFonts w:asciiTheme="majorHAnsi" w:hAnsiTheme="majorHAnsi" w:cs="Univers-Black"/>
          <w:b/>
          <w:sz w:val="32"/>
          <w:szCs w:val="32"/>
        </w:rPr>
        <w:t xml:space="preserve">Effects of aspirin, </w:t>
      </w:r>
      <w:proofErr w:type="spellStart"/>
      <w:r w:rsidRPr="00D97236">
        <w:rPr>
          <w:rFonts w:asciiTheme="majorHAnsi" w:hAnsiTheme="majorHAnsi" w:cs="Univers-Black"/>
          <w:b/>
          <w:sz w:val="32"/>
          <w:szCs w:val="32"/>
        </w:rPr>
        <w:t>carprofen</w:t>
      </w:r>
      <w:proofErr w:type="spellEnd"/>
      <w:r w:rsidRPr="00D97236">
        <w:rPr>
          <w:rFonts w:asciiTheme="majorHAnsi" w:hAnsiTheme="majorHAnsi" w:cs="Univers-Black"/>
          <w:b/>
          <w:sz w:val="32"/>
          <w:szCs w:val="32"/>
        </w:rPr>
        <w:t xml:space="preserve">, </w:t>
      </w:r>
      <w:proofErr w:type="spellStart"/>
      <w:r w:rsidRPr="00D97236">
        <w:rPr>
          <w:rFonts w:asciiTheme="majorHAnsi" w:hAnsiTheme="majorHAnsi" w:cs="Univers-Black"/>
          <w:b/>
          <w:sz w:val="32"/>
          <w:szCs w:val="32"/>
        </w:rPr>
        <w:t>deracoxib</w:t>
      </w:r>
      <w:proofErr w:type="spellEnd"/>
      <w:r w:rsidRPr="00D97236">
        <w:rPr>
          <w:rFonts w:asciiTheme="majorHAnsi" w:hAnsiTheme="majorHAnsi" w:cs="Univers-Black"/>
          <w:b/>
          <w:sz w:val="32"/>
          <w:szCs w:val="32"/>
        </w:rPr>
        <w:t>,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D97236">
        <w:rPr>
          <w:rFonts w:asciiTheme="majorHAnsi" w:hAnsiTheme="majorHAnsi" w:cs="Univers-Black"/>
          <w:b/>
          <w:sz w:val="32"/>
          <w:szCs w:val="32"/>
        </w:rPr>
        <w:t>and</w:t>
      </w:r>
      <w:proofErr w:type="gramEnd"/>
      <w:r w:rsidRPr="00D97236">
        <w:rPr>
          <w:rFonts w:asciiTheme="majorHAnsi" w:hAnsiTheme="majorHAnsi" w:cs="Univers-Black"/>
          <w:b/>
          <w:sz w:val="32"/>
          <w:szCs w:val="32"/>
        </w:rPr>
        <w:t xml:space="preserve"> </w:t>
      </w:r>
      <w:proofErr w:type="spellStart"/>
      <w:r w:rsidRPr="00D97236">
        <w:rPr>
          <w:rFonts w:asciiTheme="majorHAnsi" w:hAnsiTheme="majorHAnsi" w:cs="Univers-Black"/>
          <w:b/>
          <w:sz w:val="32"/>
          <w:szCs w:val="32"/>
        </w:rPr>
        <w:t>meloxicam</w:t>
      </w:r>
      <w:proofErr w:type="spellEnd"/>
      <w:r w:rsidRPr="00D97236">
        <w:rPr>
          <w:rFonts w:asciiTheme="majorHAnsi" w:hAnsiTheme="majorHAnsi" w:cs="Univers-Black"/>
          <w:b/>
          <w:sz w:val="32"/>
          <w:szCs w:val="32"/>
        </w:rPr>
        <w:t xml:space="preserve"> on platelet function and systemic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D97236">
        <w:rPr>
          <w:rFonts w:asciiTheme="majorHAnsi" w:hAnsiTheme="majorHAnsi" w:cs="Univers-Black"/>
          <w:b/>
          <w:sz w:val="32"/>
          <w:szCs w:val="32"/>
        </w:rPr>
        <w:t>prostaglandin</w:t>
      </w:r>
      <w:proofErr w:type="gramEnd"/>
      <w:r w:rsidRPr="00D97236">
        <w:rPr>
          <w:rFonts w:asciiTheme="majorHAnsi" w:hAnsiTheme="majorHAnsi" w:cs="Univers-Black"/>
          <w:b/>
          <w:sz w:val="32"/>
          <w:szCs w:val="32"/>
        </w:rPr>
        <w:t xml:space="preserve"> concentrations in healthy dogs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</w:rPr>
      </w:pP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D97236">
        <w:rPr>
          <w:rFonts w:asciiTheme="majorHAnsi" w:hAnsiTheme="majorHAnsi" w:cs="Berkeley-Medium"/>
          <w:sz w:val="20"/>
          <w:szCs w:val="20"/>
        </w:rPr>
        <w:t xml:space="preserve">Shauna L. Blois, DVM,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DVSc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 xml:space="preserve">; Dana G. Allen, DVM,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MSc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 xml:space="preserve">; R. Darren Wood, DVM,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DVSc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>;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D97236">
        <w:rPr>
          <w:rFonts w:asciiTheme="majorHAnsi" w:hAnsiTheme="majorHAnsi" w:cs="Berkeley-Medium"/>
          <w:sz w:val="20"/>
          <w:szCs w:val="20"/>
        </w:rPr>
        <w:t>Peter D. Conlon, DVM, PhD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old"/>
          <w:b/>
          <w:bCs/>
        </w:rPr>
      </w:pP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Objective</w:t>
      </w:r>
      <w:r w:rsidRPr="00D97236">
        <w:rPr>
          <w:rFonts w:asciiTheme="majorHAnsi" w:hAnsiTheme="majorHAnsi" w:cs="Univers-Light"/>
          <w:sz w:val="20"/>
          <w:szCs w:val="20"/>
        </w:rPr>
        <w:t>—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To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determine effects of therapeutic dosages of aspirin,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carprofen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deracoxib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,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and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meloxicam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on platelet function and systemic prostaglandin concentrations in healthy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dogs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Bold"/>
          <w:b/>
          <w:bCs/>
          <w:sz w:val="20"/>
          <w:szCs w:val="20"/>
        </w:rPr>
        <w:t>Animals</w:t>
      </w:r>
      <w:r w:rsidRPr="00D97236">
        <w:rPr>
          <w:rFonts w:asciiTheme="majorHAnsi" w:hAnsiTheme="majorHAnsi" w:cs="Univers-Light"/>
          <w:sz w:val="20"/>
          <w:szCs w:val="20"/>
        </w:rPr>
        <w:t>—10 hound-crossbred dogs.</w:t>
      </w:r>
      <w:proofErr w:type="gramEnd"/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Procedures</w:t>
      </w:r>
      <w:r w:rsidRPr="00D97236">
        <w:rPr>
          <w:rFonts w:asciiTheme="majorHAnsi" w:hAnsiTheme="majorHAnsi" w:cs="Univers-Light"/>
          <w:sz w:val="20"/>
          <w:szCs w:val="20"/>
        </w:rPr>
        <w:t xml:space="preserve">—Aspirin (10 mg/kg, PO, q 12 h),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carprofen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(4.4 mg/kg, PO, q 24 h),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deracoxib</w:t>
      </w:r>
      <w:proofErr w:type="spellEnd"/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(2 mg/kg, PO, q 24 h),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meloxicam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(0.1 mg/kg, PO, q 24 h), and a placebo were administered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for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7 days in a random order to each of 10 healthy dogs; there was a 21-day washout period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between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subsequent treatments. One-stage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prothrombin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time (PT), activated partial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spellStart"/>
      <w:proofErr w:type="gramStart"/>
      <w:r w:rsidRPr="00D97236">
        <w:rPr>
          <w:rFonts w:asciiTheme="majorHAnsi" w:hAnsiTheme="majorHAnsi" w:cs="Univers-Light"/>
          <w:sz w:val="20"/>
          <w:szCs w:val="20"/>
        </w:rPr>
        <w:t>thromboplastin</w:t>
      </w:r>
      <w:proofErr w:type="spellEnd"/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time (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aPTT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), fibrinogen concentration, and plasma concentrations of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thromboxane</w:t>
      </w:r>
      <w:proofErr w:type="spellEnd"/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(TX)B2 and 6-keto prostaglandin (PG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)F1</w:t>
      </w:r>
      <w:r w:rsidRPr="00D97236">
        <w:rPr>
          <w:rFonts w:asciiTheme="majorHAnsi" w:hAnsiTheme="majorHAnsi" w:cs="Symbol"/>
          <w:sz w:val="20"/>
          <w:szCs w:val="20"/>
        </w:rPr>
        <w:t>α</w:t>
      </w:r>
      <w:proofErr w:type="gramEnd"/>
      <w:r w:rsidRPr="00D97236">
        <w:rPr>
          <w:rFonts w:asciiTheme="majorHAnsi" w:hAnsiTheme="majorHAnsi" w:cs="Symbol"/>
          <w:sz w:val="20"/>
          <w:szCs w:val="20"/>
        </w:rPr>
        <w:t xml:space="preserve"> </w:t>
      </w:r>
      <w:r w:rsidRPr="00D97236">
        <w:rPr>
          <w:rFonts w:asciiTheme="majorHAnsi" w:hAnsiTheme="majorHAnsi" w:cs="Univers-Light"/>
          <w:sz w:val="20"/>
          <w:szCs w:val="20"/>
        </w:rPr>
        <w:t>were measured before and after treatment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administration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. Platelet function was assessed by use of a platelet-function analyzer and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aggregation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Results</w:t>
      </w:r>
      <w:r w:rsidRPr="00D97236">
        <w:rPr>
          <w:rFonts w:asciiTheme="majorHAnsi" w:hAnsiTheme="majorHAnsi" w:cs="Univers-Light"/>
          <w:sz w:val="20"/>
          <w:szCs w:val="20"/>
        </w:rPr>
        <w:t xml:space="preserve">—Aspirin,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carprofen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, and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meloxicam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did not significantly affect platelet function.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spellStart"/>
      <w:r w:rsidRPr="00D97236">
        <w:rPr>
          <w:rFonts w:asciiTheme="majorHAnsi" w:hAnsiTheme="majorHAnsi" w:cs="Univers-Light"/>
          <w:sz w:val="20"/>
          <w:szCs w:val="20"/>
        </w:rPr>
        <w:t>Deracoxib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caused a mild decrease in platelet aggregation induced by 50</w:t>
      </w:r>
      <w:r w:rsidRPr="00D97236">
        <w:rPr>
          <w:rFonts w:asciiTheme="majorHAnsi" w:hAnsiTheme="majorHAnsi" w:cs="Symbol"/>
          <w:sz w:val="20"/>
          <w:szCs w:val="20"/>
        </w:rPr>
        <w:t>μ</w:t>
      </w:r>
      <w:r w:rsidRPr="00D97236">
        <w:rPr>
          <w:rFonts w:asciiTheme="majorHAnsi" w:hAnsiTheme="majorHAnsi" w:cs="Univers-Light"/>
          <w:sz w:val="20"/>
          <w:szCs w:val="20"/>
        </w:rPr>
        <w:t>M ADP. Platelet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number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Hct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, PT,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aPTT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, and plasma TXB2 and 6-keto PGF1</w:t>
      </w:r>
      <w:r w:rsidRPr="00D97236">
        <w:rPr>
          <w:rFonts w:asciiTheme="majorHAnsi" w:hAnsiTheme="majorHAnsi" w:cs="Symbol"/>
          <w:sz w:val="20"/>
          <w:szCs w:val="20"/>
        </w:rPr>
        <w:t xml:space="preserve">α </w:t>
      </w:r>
      <w:r w:rsidRPr="00D97236">
        <w:rPr>
          <w:rFonts w:asciiTheme="majorHAnsi" w:hAnsiTheme="majorHAnsi" w:cs="Univers-Light"/>
          <w:sz w:val="20"/>
          <w:szCs w:val="20"/>
        </w:rPr>
        <w:t>concentrations were unchanged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after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NSAID administration.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Meloxicam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administration resulted in a significant decrease in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fibrinogen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concentration, but results remained within the laboratory reference interval.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Conclusions and Clinical Relevance</w:t>
      </w:r>
      <w:r w:rsidRPr="00D97236">
        <w:rPr>
          <w:rFonts w:asciiTheme="majorHAnsi" w:hAnsiTheme="majorHAnsi" w:cs="Univers-Light"/>
          <w:sz w:val="20"/>
          <w:szCs w:val="20"/>
        </w:rPr>
        <w:t>—Oral administration of commonly used NSAIDs at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therapeutic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dosages in healthy dogs did not alter plasma TXB2 and 6-keto PGF1</w:t>
      </w:r>
      <w:r w:rsidRPr="00D97236">
        <w:rPr>
          <w:rFonts w:asciiTheme="majorHAnsi" w:hAnsiTheme="majorHAnsi" w:cs="Symbol"/>
          <w:sz w:val="20"/>
          <w:szCs w:val="20"/>
        </w:rPr>
        <w:t xml:space="preserve">α </w:t>
      </w:r>
      <w:r w:rsidRPr="00D97236">
        <w:rPr>
          <w:rFonts w:asciiTheme="majorHAnsi" w:hAnsiTheme="majorHAnsi" w:cs="Univers-Light"/>
          <w:sz w:val="20"/>
          <w:szCs w:val="20"/>
        </w:rPr>
        <w:t>concentrations.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spellStart"/>
      <w:r w:rsidRPr="00D97236">
        <w:rPr>
          <w:rFonts w:asciiTheme="majorHAnsi" w:hAnsiTheme="majorHAnsi" w:cs="Univers-Light"/>
          <w:sz w:val="20"/>
          <w:szCs w:val="20"/>
        </w:rPr>
        <w:t>Deracoxib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administration resulted in a minor abnormality in platelet aggregation.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Anti-inflammatory doses of aspirin did not affect platelet function as measured by use of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optical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aggregometry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and a platelet-function analyzer. Further evaluation of the effects of</w:t>
      </w:r>
    </w:p>
    <w:p w:rsidR="00D210BA" w:rsidRPr="00D97236" w:rsidRDefault="00D210BA" w:rsidP="00D210B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Oblique"/>
          <w:i/>
          <w:iCs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aspirin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and cyclooxygenase-2–selective inhibitors on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hemostasis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should be performed. (</w:t>
      </w:r>
      <w:r w:rsidRPr="00D97236">
        <w:rPr>
          <w:rFonts w:asciiTheme="majorHAnsi" w:hAnsiTheme="majorHAnsi" w:cs="Univers-LightOblique"/>
          <w:i/>
          <w:iCs/>
          <w:sz w:val="20"/>
          <w:szCs w:val="20"/>
        </w:rPr>
        <w:t>Am</w:t>
      </w:r>
    </w:p>
    <w:p w:rsidR="001E6780" w:rsidRDefault="00D210BA" w:rsidP="000A1EC1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Oblique"/>
          <w:i/>
          <w:iCs/>
          <w:sz w:val="20"/>
          <w:szCs w:val="20"/>
        </w:rPr>
        <w:t xml:space="preserve">J Vet Res </w:t>
      </w:r>
      <w:r w:rsidRPr="00D97236">
        <w:rPr>
          <w:rFonts w:asciiTheme="majorHAnsi" w:hAnsiTheme="majorHAnsi" w:cs="Univers-Light"/>
          <w:sz w:val="20"/>
          <w:szCs w:val="20"/>
        </w:rPr>
        <w:t>2010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;71:349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–358)</w:t>
      </w:r>
    </w:p>
    <w:p w:rsidR="000A1EC1" w:rsidRDefault="000A1EC1" w:rsidP="000A1EC1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>•</w:t>
      </w:r>
      <w:r w:rsidR="00001B7D">
        <w:rPr>
          <w:rFonts w:asciiTheme="majorHAnsi" w:hAnsiTheme="majorHAnsi" w:cs="Univers-Light"/>
          <w:sz w:val="20"/>
          <w:szCs w:val="20"/>
        </w:rPr>
        <w:t xml:space="preserve"> Oral administration of commonly used NSAIDs did not alter plasma levels of TXB</w:t>
      </w:r>
      <w:r w:rsidR="00001B7D" w:rsidRPr="00001B7D">
        <w:rPr>
          <w:rFonts w:asciiTheme="majorHAnsi" w:hAnsiTheme="majorHAnsi" w:cs="Univers-Light"/>
          <w:sz w:val="20"/>
          <w:szCs w:val="20"/>
          <w:vertAlign w:val="subscript"/>
        </w:rPr>
        <w:t>2</w:t>
      </w:r>
      <w:r w:rsidR="00001B7D">
        <w:rPr>
          <w:rFonts w:asciiTheme="majorHAnsi" w:hAnsiTheme="majorHAnsi" w:cs="Univers-Light"/>
          <w:sz w:val="20"/>
          <w:szCs w:val="20"/>
        </w:rPr>
        <w:t xml:space="preserve"> or </w:t>
      </w:r>
      <w:proofErr w:type="spellStart"/>
      <w:r w:rsidR="00001B7D">
        <w:rPr>
          <w:rFonts w:asciiTheme="majorHAnsi" w:hAnsiTheme="majorHAnsi" w:cs="Univers-Light"/>
          <w:sz w:val="20"/>
          <w:szCs w:val="20"/>
        </w:rPr>
        <w:t>PGFα</w:t>
      </w:r>
      <w:proofErr w:type="spellEnd"/>
      <w:r w:rsidR="00210DF7">
        <w:rPr>
          <w:rFonts w:asciiTheme="majorHAnsi" w:hAnsiTheme="majorHAnsi" w:cs="Univers-Light"/>
          <w:sz w:val="20"/>
          <w:szCs w:val="20"/>
        </w:rPr>
        <w:t xml:space="preserve"> </w:t>
      </w:r>
    </w:p>
    <w:p w:rsidR="000A1EC1" w:rsidRDefault="000A1EC1" w:rsidP="000A1EC1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>•</w:t>
      </w:r>
      <w:r w:rsidR="00210DF7">
        <w:rPr>
          <w:rFonts w:asciiTheme="majorHAnsi" w:hAnsiTheme="majorHAnsi" w:cs="Univers-Light"/>
          <w:sz w:val="20"/>
          <w:szCs w:val="20"/>
        </w:rPr>
        <w:t xml:space="preserve"> </w:t>
      </w:r>
      <w:proofErr w:type="spellStart"/>
      <w:r w:rsidR="00210DF7">
        <w:rPr>
          <w:rFonts w:asciiTheme="majorHAnsi" w:hAnsiTheme="majorHAnsi" w:cs="Univers-Light"/>
          <w:sz w:val="20"/>
          <w:szCs w:val="20"/>
        </w:rPr>
        <w:t>Deracoxib</w:t>
      </w:r>
      <w:proofErr w:type="spellEnd"/>
      <w:r w:rsidR="00210DF7">
        <w:rPr>
          <w:rFonts w:asciiTheme="majorHAnsi" w:hAnsiTheme="majorHAnsi" w:cs="Univers-Light"/>
          <w:sz w:val="20"/>
          <w:szCs w:val="20"/>
        </w:rPr>
        <w:t xml:space="preserve"> caused a mild decrease in platelet aggregation (via PFA) in healthy dogs</w:t>
      </w:r>
    </w:p>
    <w:p w:rsidR="000A1EC1" w:rsidRPr="00D97236" w:rsidRDefault="000A1EC1" w:rsidP="000A1EC1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>•</w:t>
      </w:r>
      <w:r w:rsidR="00210DF7">
        <w:rPr>
          <w:rFonts w:asciiTheme="majorHAnsi" w:hAnsiTheme="majorHAnsi" w:cs="Univers-Light"/>
          <w:sz w:val="20"/>
          <w:szCs w:val="20"/>
        </w:rPr>
        <w:t xml:space="preserve"> Anti-inflammatory doses of Aspirin (10 mg/kg PO q 12) did not affect platelet function as measured by use of optical </w:t>
      </w:r>
      <w:proofErr w:type="spellStart"/>
      <w:r w:rsidR="00210DF7">
        <w:rPr>
          <w:rFonts w:asciiTheme="majorHAnsi" w:hAnsiTheme="majorHAnsi" w:cs="Univers-Light"/>
          <w:sz w:val="20"/>
          <w:szCs w:val="20"/>
        </w:rPr>
        <w:t>aggregometry</w:t>
      </w:r>
      <w:proofErr w:type="spellEnd"/>
      <w:r w:rsidR="00210DF7">
        <w:rPr>
          <w:rFonts w:asciiTheme="majorHAnsi" w:hAnsiTheme="majorHAnsi" w:cs="Univers-Light"/>
          <w:sz w:val="20"/>
          <w:szCs w:val="20"/>
        </w:rPr>
        <w:t xml:space="preserve"> and PFA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>1.  Which of the following is a product of COX2 in platelets that causes vasoconstriction and platelet aggregation?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a. </w:t>
      </w:r>
      <w:proofErr w:type="spellStart"/>
      <w:r>
        <w:rPr>
          <w:rFonts w:asciiTheme="majorHAnsi" w:hAnsiTheme="majorHAnsi" w:cs="Univers-Light"/>
          <w:sz w:val="20"/>
          <w:szCs w:val="20"/>
        </w:rPr>
        <w:t>Prostacyclin</w:t>
      </w:r>
      <w:proofErr w:type="spellEnd"/>
      <w:r>
        <w:rPr>
          <w:rFonts w:asciiTheme="majorHAnsi" w:hAnsiTheme="majorHAnsi" w:cs="Univers-Light"/>
          <w:sz w:val="20"/>
          <w:szCs w:val="20"/>
        </w:rPr>
        <w:t xml:space="preserve"> (PGI</w:t>
      </w:r>
      <w:r w:rsidRPr="00001B7D">
        <w:rPr>
          <w:rFonts w:asciiTheme="majorHAnsi" w:hAnsiTheme="majorHAnsi" w:cs="Univers-Light"/>
          <w:sz w:val="20"/>
          <w:szCs w:val="20"/>
          <w:vertAlign w:val="subscript"/>
        </w:rPr>
        <w:t>2</w:t>
      </w:r>
      <w:r>
        <w:rPr>
          <w:rFonts w:asciiTheme="majorHAnsi" w:hAnsiTheme="majorHAnsi" w:cs="Univers-Light"/>
          <w:sz w:val="20"/>
          <w:szCs w:val="20"/>
        </w:rPr>
        <w:t>)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>b. Prostaglandin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>c. Platelet activating factor (PAF)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</w:r>
      <w:r w:rsidRPr="00001B7D">
        <w:rPr>
          <w:rFonts w:asciiTheme="majorHAnsi" w:hAnsiTheme="majorHAnsi" w:cs="Univers-Light"/>
          <w:sz w:val="20"/>
          <w:szCs w:val="20"/>
          <w:highlight w:val="yellow"/>
        </w:rPr>
        <w:t xml:space="preserve">d. </w:t>
      </w:r>
      <w:proofErr w:type="spellStart"/>
      <w:r w:rsidRPr="00001B7D">
        <w:rPr>
          <w:rFonts w:asciiTheme="majorHAnsi" w:hAnsiTheme="majorHAnsi" w:cs="Univers-Light"/>
          <w:sz w:val="20"/>
          <w:szCs w:val="20"/>
          <w:highlight w:val="yellow"/>
        </w:rPr>
        <w:t>Thromboxane</w:t>
      </w:r>
      <w:proofErr w:type="spellEnd"/>
      <w:r w:rsidRPr="00001B7D">
        <w:rPr>
          <w:rFonts w:asciiTheme="majorHAnsi" w:hAnsiTheme="majorHAnsi" w:cs="Univers-Light"/>
          <w:sz w:val="20"/>
          <w:szCs w:val="20"/>
          <w:highlight w:val="yellow"/>
        </w:rPr>
        <w:t xml:space="preserve"> (TXA</w:t>
      </w:r>
      <w:r w:rsidRPr="00001B7D">
        <w:rPr>
          <w:rFonts w:asciiTheme="majorHAnsi" w:hAnsiTheme="majorHAnsi" w:cs="Univers-Light"/>
          <w:sz w:val="20"/>
          <w:szCs w:val="20"/>
          <w:highlight w:val="yellow"/>
          <w:vertAlign w:val="subscript"/>
        </w:rPr>
        <w:t>2</w:t>
      </w:r>
      <w:r w:rsidRPr="00001B7D">
        <w:rPr>
          <w:rFonts w:asciiTheme="majorHAnsi" w:hAnsiTheme="majorHAnsi" w:cs="Univers-Light"/>
          <w:sz w:val="20"/>
          <w:szCs w:val="20"/>
          <w:highlight w:val="yellow"/>
        </w:rPr>
        <w:t>)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>2. Which of the following drugs is not a COX2 inhibitor?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a. </w:t>
      </w:r>
      <w:proofErr w:type="spellStart"/>
      <w:r>
        <w:rPr>
          <w:rFonts w:asciiTheme="majorHAnsi" w:hAnsiTheme="majorHAnsi" w:cs="Univers-Light"/>
          <w:sz w:val="20"/>
          <w:szCs w:val="20"/>
        </w:rPr>
        <w:t>Meloxicam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b. </w:t>
      </w:r>
      <w:proofErr w:type="spellStart"/>
      <w:r>
        <w:rPr>
          <w:rFonts w:asciiTheme="majorHAnsi" w:hAnsiTheme="majorHAnsi" w:cs="Univers-Light"/>
          <w:sz w:val="20"/>
          <w:szCs w:val="20"/>
        </w:rPr>
        <w:t>Carprofen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</w:r>
      <w:r w:rsidRPr="00001B7D">
        <w:rPr>
          <w:rFonts w:asciiTheme="majorHAnsi" w:hAnsiTheme="majorHAnsi" w:cs="Univers-Light"/>
          <w:sz w:val="20"/>
          <w:szCs w:val="20"/>
          <w:highlight w:val="yellow"/>
        </w:rPr>
        <w:t>c. Aspirin</w:t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d. </w:t>
      </w:r>
      <w:proofErr w:type="spellStart"/>
      <w:r>
        <w:rPr>
          <w:rFonts w:asciiTheme="majorHAnsi" w:hAnsiTheme="majorHAnsi" w:cs="Univers-Light"/>
          <w:sz w:val="20"/>
          <w:szCs w:val="20"/>
        </w:rPr>
        <w:t>Deracoxib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853086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lastRenderedPageBreak/>
        <w:t>3.  According to the study by Blois et al. 2010, which COX2 selective NSAID caused a mild decrease in platelet aggregation in healthy dogs?</w:t>
      </w:r>
    </w:p>
    <w:p w:rsidR="00001B7D" w:rsidRDefault="00001B7D" w:rsidP="00853086">
      <w:pPr>
        <w:spacing w:after="0"/>
        <w:ind w:firstLine="72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 xml:space="preserve">a. </w:t>
      </w:r>
      <w:proofErr w:type="spellStart"/>
      <w:r>
        <w:rPr>
          <w:rFonts w:asciiTheme="majorHAnsi" w:hAnsiTheme="majorHAnsi" w:cs="Univers-Light"/>
          <w:sz w:val="20"/>
          <w:szCs w:val="20"/>
        </w:rPr>
        <w:t>Carprofen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</w:r>
      <w:r w:rsidRPr="00001B7D">
        <w:rPr>
          <w:rFonts w:asciiTheme="majorHAnsi" w:hAnsiTheme="majorHAnsi" w:cs="Univers-Light"/>
          <w:sz w:val="20"/>
          <w:szCs w:val="20"/>
          <w:highlight w:val="yellow"/>
        </w:rPr>
        <w:t xml:space="preserve">b. </w:t>
      </w:r>
      <w:proofErr w:type="spellStart"/>
      <w:r w:rsidRPr="00001B7D">
        <w:rPr>
          <w:rFonts w:asciiTheme="majorHAnsi" w:hAnsiTheme="majorHAnsi" w:cs="Univers-Light"/>
          <w:sz w:val="20"/>
          <w:szCs w:val="20"/>
          <w:highlight w:val="yellow"/>
        </w:rPr>
        <w:t>Deracoxib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c. </w:t>
      </w:r>
      <w:proofErr w:type="spellStart"/>
      <w:r>
        <w:rPr>
          <w:rFonts w:asciiTheme="majorHAnsi" w:hAnsiTheme="majorHAnsi" w:cs="Univers-Light"/>
          <w:sz w:val="20"/>
          <w:szCs w:val="20"/>
        </w:rPr>
        <w:t>Meloxicam</w:t>
      </w:r>
      <w:proofErr w:type="spellEnd"/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tab/>
        <w:t xml:space="preserve">d. </w:t>
      </w:r>
      <w:proofErr w:type="spellStart"/>
      <w:r>
        <w:rPr>
          <w:rFonts w:asciiTheme="majorHAnsi" w:hAnsiTheme="majorHAnsi" w:cs="Univers-Light"/>
          <w:sz w:val="20"/>
          <w:szCs w:val="20"/>
        </w:rPr>
        <w:t>Fiirocoxib</w:t>
      </w:r>
      <w:proofErr w:type="spellEnd"/>
    </w:p>
    <w:p w:rsidR="00001B7D" w:rsidRDefault="00001B7D">
      <w:pPr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br w:type="page"/>
      </w:r>
    </w:p>
    <w:p w:rsidR="00001B7D" w:rsidRDefault="00001B7D" w:rsidP="00001B7D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1E6780" w:rsidRPr="000A1EC1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spellStart"/>
      <w:r w:rsidRPr="000A1EC1">
        <w:rPr>
          <w:rFonts w:asciiTheme="majorHAnsi" w:hAnsiTheme="majorHAnsi" w:cs="Univers-Black"/>
          <w:b/>
          <w:sz w:val="32"/>
          <w:szCs w:val="32"/>
        </w:rPr>
        <w:t>Levetiracetam</w:t>
      </w:r>
      <w:proofErr w:type="spell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pharmacokinetics in healthy dogs</w:t>
      </w:r>
    </w:p>
    <w:p w:rsidR="001E6780" w:rsidRPr="000A1EC1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0A1EC1">
        <w:rPr>
          <w:rFonts w:asciiTheme="majorHAnsi" w:hAnsiTheme="majorHAnsi" w:cs="Univers-Black"/>
          <w:b/>
          <w:sz w:val="32"/>
          <w:szCs w:val="32"/>
        </w:rPr>
        <w:t>following</w:t>
      </w:r>
      <w:proofErr w:type="gram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oral administration of single</w:t>
      </w:r>
    </w:p>
    <w:p w:rsidR="001E6780" w:rsidRPr="000A1EC1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6"/>
          <w:szCs w:val="36"/>
        </w:rPr>
      </w:pPr>
      <w:proofErr w:type="gramStart"/>
      <w:r w:rsidRPr="000A1EC1">
        <w:rPr>
          <w:rFonts w:asciiTheme="majorHAnsi" w:hAnsiTheme="majorHAnsi" w:cs="Univers-Black"/>
          <w:b/>
          <w:sz w:val="32"/>
          <w:szCs w:val="32"/>
        </w:rPr>
        <w:t>and</w:t>
      </w:r>
      <w:proofErr w:type="gram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multiple doses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D97236">
        <w:rPr>
          <w:rFonts w:asciiTheme="majorHAnsi" w:hAnsiTheme="majorHAnsi" w:cs="Berkeley-Medium"/>
          <w:sz w:val="20"/>
          <w:szCs w:val="20"/>
        </w:rPr>
        <w:t xml:space="preserve">Sarah A. Moore, DVM; Karen R.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Muñana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 xml:space="preserve">, DVM, MS; Mark G.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Papich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>, DVM, MS;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D97236">
        <w:rPr>
          <w:rFonts w:asciiTheme="majorHAnsi" w:hAnsiTheme="majorHAnsi" w:cs="Berkeley-Medium"/>
          <w:sz w:val="20"/>
          <w:szCs w:val="20"/>
        </w:rPr>
        <w:t xml:space="preserve">Julie </w:t>
      </w:r>
      <w:proofErr w:type="spellStart"/>
      <w:r w:rsidRPr="00D97236">
        <w:rPr>
          <w:rFonts w:asciiTheme="majorHAnsi" w:hAnsiTheme="majorHAnsi" w:cs="Berkeley-Medium"/>
          <w:sz w:val="20"/>
          <w:szCs w:val="20"/>
        </w:rPr>
        <w:t>Nettifee</w:t>
      </w:r>
      <w:proofErr w:type="spellEnd"/>
      <w:r w:rsidRPr="00D97236">
        <w:rPr>
          <w:rFonts w:asciiTheme="majorHAnsi" w:hAnsiTheme="majorHAnsi" w:cs="Berkeley-Medium"/>
          <w:sz w:val="20"/>
          <w:szCs w:val="20"/>
        </w:rPr>
        <w:t>-Osborne, BS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old"/>
          <w:b/>
          <w:bCs/>
          <w:sz w:val="20"/>
          <w:szCs w:val="20"/>
        </w:rPr>
      </w:pP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Objective</w:t>
      </w:r>
      <w:r w:rsidRPr="00D97236">
        <w:rPr>
          <w:rFonts w:asciiTheme="majorHAnsi" w:hAnsiTheme="majorHAnsi" w:cs="Univers-Light"/>
          <w:sz w:val="20"/>
          <w:szCs w:val="20"/>
        </w:rPr>
        <w:t>—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To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measure pharmacokinetics of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levetiracetam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(LEV) after single-dose oral administration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in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healthy dogs and determine whether pharmacokinetics changed after repeated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oral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dosing.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Bold"/>
          <w:b/>
          <w:bCs/>
          <w:sz w:val="20"/>
          <w:szCs w:val="20"/>
        </w:rPr>
        <w:t>Animals</w:t>
      </w:r>
      <w:r w:rsidRPr="00D97236">
        <w:rPr>
          <w:rFonts w:asciiTheme="majorHAnsi" w:hAnsiTheme="majorHAnsi" w:cs="Univers-Light"/>
          <w:sz w:val="20"/>
          <w:szCs w:val="20"/>
        </w:rPr>
        <w:t>—6 healthy adult dogs.</w:t>
      </w:r>
      <w:proofErr w:type="gramEnd"/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Procedures</w:t>
      </w:r>
      <w:r w:rsidRPr="00D97236">
        <w:rPr>
          <w:rFonts w:asciiTheme="majorHAnsi" w:hAnsiTheme="majorHAnsi" w:cs="Univers-Light"/>
          <w:sz w:val="20"/>
          <w:szCs w:val="20"/>
        </w:rPr>
        <w:t>—Pharmacokinetics were calculated following administration of a single dose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(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mean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, 21.7 mg/kg, PO; day 1) and after administration of the last dose following administration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for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6 days (20.8 to 22.7 mg/kg, PO, q 8 h; days 2 to 7). Plasma LEV concentrations were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determined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by use of high-pressure liquid chromatography. Pharmacokinetic data were analyzed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by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use of a 1-compartment model with first-order absorption.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Results</w:t>
      </w:r>
      <w:r w:rsidRPr="00D97236">
        <w:rPr>
          <w:rFonts w:asciiTheme="majorHAnsi" w:hAnsiTheme="majorHAnsi" w:cs="Univers-Light"/>
          <w:sz w:val="20"/>
          <w:szCs w:val="20"/>
        </w:rPr>
        <w:t>—Peak concentration occurred 0.6 hours after administration of the first dose, with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an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absorption half-life of 0.06 hours. Minimal accumulation occurred over the 7 days, with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only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a slight increase in total area under the concentration-versus-time curve from 268.52 ±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 xml:space="preserve">56.33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h•</w:t>
      </w:r>
      <w:r w:rsidRPr="00D97236">
        <w:rPr>
          <w:rFonts w:asciiTheme="majorHAnsi" w:hAnsiTheme="majorHAnsi" w:cs="Symbol"/>
          <w:sz w:val="20"/>
          <w:szCs w:val="20"/>
        </w:rPr>
        <w:t>μ</w:t>
      </w:r>
      <w:r w:rsidRPr="00D97236">
        <w:rPr>
          <w:rFonts w:asciiTheme="majorHAnsi" w:hAnsiTheme="majorHAnsi" w:cs="Univers-Light"/>
          <w:sz w:val="20"/>
          <w:szCs w:val="20"/>
        </w:rPr>
        <w:t>g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/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mL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(mean </w:t>
      </w:r>
      <w:r w:rsidRPr="00D97236">
        <w:rPr>
          <w:rFonts w:asciiTheme="majorHAnsi" w:hAnsiTheme="majorHAnsi" w:cs="HelveticaNeue-Thin"/>
          <w:sz w:val="20"/>
          <w:szCs w:val="20"/>
        </w:rPr>
        <w:t xml:space="preserve">± </w:t>
      </w:r>
      <w:r w:rsidRPr="00D97236">
        <w:rPr>
          <w:rFonts w:asciiTheme="majorHAnsi" w:hAnsiTheme="majorHAnsi" w:cs="Univers-Light"/>
          <w:sz w:val="20"/>
          <w:szCs w:val="20"/>
        </w:rPr>
        <w:t xml:space="preserve">SD) to 289.31 ± 51.68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h•</w:t>
      </w:r>
      <w:r w:rsidRPr="00D97236">
        <w:rPr>
          <w:rFonts w:asciiTheme="majorHAnsi" w:hAnsiTheme="majorHAnsi" w:cs="Symbol"/>
          <w:sz w:val="20"/>
          <w:szCs w:val="20"/>
        </w:rPr>
        <w:t>μ</w:t>
      </w:r>
      <w:r w:rsidRPr="00D97236">
        <w:rPr>
          <w:rFonts w:asciiTheme="majorHAnsi" w:hAnsiTheme="majorHAnsi" w:cs="Univers-Light"/>
          <w:sz w:val="20"/>
          <w:szCs w:val="20"/>
        </w:rPr>
        <w:t>g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/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mL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after 7 days.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Terminal half-life was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 xml:space="preserve">2.87 </w:t>
      </w:r>
      <w:r w:rsidRPr="00D97236">
        <w:rPr>
          <w:rFonts w:asciiTheme="majorHAnsi" w:hAnsiTheme="majorHAnsi" w:cs="HelveticaNeue-Thin"/>
          <w:sz w:val="20"/>
          <w:szCs w:val="20"/>
        </w:rPr>
        <w:t xml:space="preserve">± </w:t>
      </w:r>
      <w:r w:rsidRPr="00D97236">
        <w:rPr>
          <w:rFonts w:asciiTheme="majorHAnsi" w:hAnsiTheme="majorHAnsi" w:cs="Univers-Light"/>
          <w:sz w:val="20"/>
          <w:szCs w:val="20"/>
        </w:rPr>
        <w:t xml:space="preserve">0.21 hours after the first dose and 3.59 </w:t>
      </w:r>
      <w:r w:rsidRPr="00D97236">
        <w:rPr>
          <w:rFonts w:asciiTheme="majorHAnsi" w:hAnsiTheme="majorHAnsi" w:cs="HelveticaNeue-Thin"/>
          <w:sz w:val="20"/>
          <w:szCs w:val="20"/>
        </w:rPr>
        <w:t xml:space="preserve">± </w:t>
      </w:r>
      <w:r w:rsidRPr="00D97236">
        <w:rPr>
          <w:rFonts w:asciiTheme="majorHAnsi" w:hAnsiTheme="majorHAnsi" w:cs="Univers-Light"/>
          <w:sz w:val="20"/>
          <w:szCs w:val="20"/>
        </w:rPr>
        <w:t>0.82 hours after the last dose on day 7.</w:t>
      </w:r>
      <w:proofErr w:type="gramEnd"/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Trough plasma concentrations were variable, depending on the time of day they were measured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(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morning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trough concentration, 18.42 </w:t>
      </w:r>
      <w:r w:rsidRPr="00D97236">
        <w:rPr>
          <w:rFonts w:asciiTheme="majorHAnsi" w:hAnsiTheme="majorHAnsi" w:cs="HelveticaNeue-Thin"/>
          <w:sz w:val="20"/>
          <w:szCs w:val="20"/>
        </w:rPr>
        <w:t xml:space="preserve">± </w:t>
      </w:r>
      <w:r w:rsidRPr="00D97236">
        <w:rPr>
          <w:rFonts w:asciiTheme="majorHAnsi" w:hAnsiTheme="majorHAnsi" w:cs="Univers-Light"/>
          <w:sz w:val="20"/>
          <w:szCs w:val="20"/>
        </w:rPr>
        <w:t xml:space="preserve">5.16 </w:t>
      </w:r>
      <w:proofErr w:type="spellStart"/>
      <w:r w:rsidRPr="00D97236">
        <w:rPr>
          <w:rFonts w:asciiTheme="majorHAnsi" w:hAnsiTheme="majorHAnsi" w:cs="Symbol"/>
          <w:sz w:val="20"/>
          <w:szCs w:val="20"/>
        </w:rPr>
        <w:t>μ</w:t>
      </w:r>
      <w:r w:rsidRPr="00D97236">
        <w:rPr>
          <w:rFonts w:asciiTheme="majorHAnsi" w:hAnsiTheme="majorHAnsi" w:cs="Univers-Light"/>
          <w:sz w:val="20"/>
          <w:szCs w:val="20"/>
        </w:rPr>
        <w:t>g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/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mL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; midday trough concentration,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12.57 </w:t>
      </w:r>
      <w:r w:rsidRPr="00D97236">
        <w:rPr>
          <w:rFonts w:asciiTheme="majorHAnsi" w:hAnsiTheme="majorHAnsi" w:cs="HelveticaNeue-Thin"/>
          <w:sz w:val="20"/>
          <w:szCs w:val="20"/>
        </w:rPr>
        <w:t xml:space="preserve">± </w:t>
      </w:r>
      <w:r w:rsidRPr="00D97236">
        <w:rPr>
          <w:rFonts w:asciiTheme="majorHAnsi" w:hAnsiTheme="majorHAnsi" w:cs="Univers-Light"/>
          <w:sz w:val="20"/>
          <w:szCs w:val="20"/>
        </w:rPr>
        <w:t xml:space="preserve">4.34 </w:t>
      </w:r>
      <w:proofErr w:type="spellStart"/>
      <w:r w:rsidRPr="00D97236">
        <w:rPr>
          <w:rFonts w:asciiTheme="majorHAnsi" w:hAnsiTheme="majorHAnsi" w:cs="Symbol"/>
          <w:sz w:val="20"/>
          <w:szCs w:val="20"/>
        </w:rPr>
        <w:t>μ</w:t>
      </w:r>
      <w:r w:rsidRPr="00D97236">
        <w:rPr>
          <w:rFonts w:asciiTheme="majorHAnsi" w:hAnsiTheme="majorHAnsi" w:cs="Univers-Light"/>
          <w:sz w:val="20"/>
          <w:szCs w:val="20"/>
        </w:rPr>
        <w:t>g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/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mL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>), suggesting a diurnal variation in drug excretion.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Bold"/>
          <w:b/>
          <w:bCs/>
          <w:sz w:val="20"/>
          <w:szCs w:val="20"/>
        </w:rPr>
        <w:t>Conclusions and Clinical Relevance</w:t>
      </w:r>
      <w:r w:rsidRPr="00D97236">
        <w:rPr>
          <w:rFonts w:asciiTheme="majorHAnsi" w:hAnsiTheme="majorHAnsi" w:cs="Univers-Light"/>
          <w:sz w:val="20"/>
          <w:szCs w:val="20"/>
        </w:rPr>
        <w:t>—Results indicated that the pharmacokinetics of LEV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did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not change appreciably after administration of multiple doses over 7 days. Administration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of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LEV at a dosage of 20 mg/kg, PO, every 8 hours to healthy dogs yielded plasma drug</w:t>
      </w:r>
    </w:p>
    <w:p w:rsidR="001E6780" w:rsidRPr="00D97236" w:rsidRDefault="001E6780" w:rsidP="001E678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D97236">
        <w:rPr>
          <w:rFonts w:asciiTheme="majorHAnsi" w:hAnsiTheme="majorHAnsi" w:cs="Univers-Light"/>
          <w:sz w:val="20"/>
          <w:szCs w:val="20"/>
        </w:rPr>
        <w:t>concentrations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 xml:space="preserve"> consistently within the therapeutic range established for LEV in humans.</w:t>
      </w:r>
    </w:p>
    <w:p w:rsidR="008D71C1" w:rsidRPr="00D97236" w:rsidRDefault="001E6780" w:rsidP="001E6780">
      <w:pPr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(</w:t>
      </w:r>
      <w:r w:rsidRPr="00D97236">
        <w:rPr>
          <w:rFonts w:asciiTheme="majorHAnsi" w:hAnsiTheme="majorHAnsi" w:cs="Univers-LightOblique"/>
          <w:i/>
          <w:iCs/>
          <w:sz w:val="20"/>
          <w:szCs w:val="20"/>
        </w:rPr>
        <w:t xml:space="preserve">Am J Vet Res </w:t>
      </w:r>
      <w:r w:rsidRPr="00D97236">
        <w:rPr>
          <w:rFonts w:asciiTheme="majorHAnsi" w:hAnsiTheme="majorHAnsi" w:cs="Univers-Light"/>
          <w:sz w:val="20"/>
          <w:szCs w:val="20"/>
        </w:rPr>
        <w:t>2010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;71:337</w:t>
      </w:r>
      <w:proofErr w:type="gramEnd"/>
      <w:r w:rsidRPr="00D97236">
        <w:rPr>
          <w:rFonts w:asciiTheme="majorHAnsi" w:hAnsiTheme="majorHAnsi" w:cs="Univers-Light"/>
          <w:sz w:val="20"/>
          <w:szCs w:val="20"/>
        </w:rPr>
        <w:t>–341)</w:t>
      </w:r>
    </w:p>
    <w:p w:rsidR="00E80242" w:rsidRPr="00D97236" w:rsidRDefault="00E80242" w:rsidP="00E80242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• Oral administration of LEV every 8 hours at a dose of 20 mg/kg consistently produced plasma drug concentrations within the proposed therapeutic range </w:t>
      </w:r>
      <w:proofErr w:type="gramStart"/>
      <w:r w:rsidRPr="00D97236">
        <w:rPr>
          <w:rFonts w:asciiTheme="majorHAnsi" w:hAnsiTheme="majorHAnsi" w:cs="Univers-Light"/>
          <w:sz w:val="20"/>
          <w:szCs w:val="20"/>
        </w:rPr>
        <w:t>of 5 to 45 mcg/ml</w:t>
      </w:r>
      <w:proofErr w:type="gramEnd"/>
    </w:p>
    <w:p w:rsidR="00E80242" w:rsidRPr="00D97236" w:rsidRDefault="00E80242" w:rsidP="00E80242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• </w:t>
      </w:r>
      <w:r w:rsidRPr="00D97236">
        <w:rPr>
          <w:rFonts w:asciiTheme="majorHAnsi" w:hAnsiTheme="majorHAnsi"/>
          <w:sz w:val="20"/>
          <w:szCs w:val="20"/>
        </w:rPr>
        <w:t>Diurnal changes in disposition of LEV may be an important contributor to breakthrough seizures in some patients</w:t>
      </w:r>
    </w:p>
    <w:p w:rsidR="00E80242" w:rsidRPr="00D97236" w:rsidRDefault="00E80242" w:rsidP="00E80242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• </w:t>
      </w:r>
      <w:r w:rsidR="00B76EE9" w:rsidRPr="00D97236">
        <w:rPr>
          <w:rFonts w:asciiTheme="majorHAnsi" w:hAnsiTheme="majorHAnsi" w:cs="Univers-Light"/>
          <w:sz w:val="20"/>
          <w:szCs w:val="20"/>
        </w:rPr>
        <w:t>LEV has minimal hepatic metabolism and primary renal excretion</w:t>
      </w:r>
    </w:p>
    <w:p w:rsidR="00B76EE9" w:rsidRPr="00D97236" w:rsidRDefault="00B76EE9" w:rsidP="00E80242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B76EE9" w:rsidRPr="00D97236" w:rsidRDefault="00D97236" w:rsidP="00B76EE9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Define the following terms as they relate to pharmacokinetics:</w:t>
      </w:r>
    </w:p>
    <w:p w:rsidR="00D97236" w:rsidRP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1. AUC (area-under-the-curve): the overall amount of drug in the bloodstream after a dose</w:t>
      </w:r>
    </w:p>
    <w:p w:rsidR="00D97236" w:rsidRP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2.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Cmax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(maximum concentration): the highest concentration of drug in the blood that is measured after a dose</w:t>
      </w:r>
    </w:p>
    <w:p w:rsidR="00D97236" w:rsidRP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3. </w:t>
      </w:r>
      <w:proofErr w:type="spellStart"/>
      <w:r w:rsidRPr="00D97236">
        <w:rPr>
          <w:rFonts w:asciiTheme="majorHAnsi" w:hAnsiTheme="majorHAnsi" w:cs="Univers-Light"/>
          <w:sz w:val="20"/>
          <w:szCs w:val="20"/>
        </w:rPr>
        <w:t>Cmin</w:t>
      </w:r>
      <w:proofErr w:type="spellEnd"/>
      <w:r w:rsidRPr="00D97236">
        <w:rPr>
          <w:rFonts w:asciiTheme="majorHAnsi" w:hAnsiTheme="majorHAnsi" w:cs="Univers-Light"/>
          <w:sz w:val="20"/>
          <w:szCs w:val="20"/>
        </w:rPr>
        <w:t xml:space="preserve"> (trough): the lowest concentration of drug in the blood that is measured after a dose</w:t>
      </w:r>
    </w:p>
    <w:p w:rsidR="00D97236" w:rsidRP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>4. Half-life (t</w:t>
      </w:r>
      <w:r w:rsidRPr="00D97236">
        <w:rPr>
          <w:rFonts w:asciiTheme="majorHAnsi" w:hAnsiTheme="majorHAnsi" w:cs="Univers-Light"/>
          <w:sz w:val="20"/>
          <w:szCs w:val="20"/>
          <w:vertAlign w:val="superscript"/>
        </w:rPr>
        <w:t>1/2</w:t>
      </w:r>
      <w:r w:rsidRPr="00D97236">
        <w:rPr>
          <w:rFonts w:asciiTheme="majorHAnsi" w:hAnsiTheme="majorHAnsi" w:cs="Univers-Light"/>
          <w:sz w:val="20"/>
          <w:szCs w:val="20"/>
        </w:rPr>
        <w:t>): the amount of time it takes for the drug concentration in the blood to decline by half.  Used to determine how often a drug has to be dosed.</w:t>
      </w:r>
    </w:p>
    <w:p w:rsid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  <w:r w:rsidRPr="00D97236">
        <w:rPr>
          <w:rFonts w:asciiTheme="majorHAnsi" w:hAnsiTheme="majorHAnsi" w:cs="Univers-Light"/>
          <w:sz w:val="20"/>
          <w:szCs w:val="20"/>
        </w:rPr>
        <w:t xml:space="preserve">5. Steady-state: </w:t>
      </w:r>
      <w:r w:rsidRPr="00D97236">
        <w:rPr>
          <w:rFonts w:asciiTheme="majorHAnsi" w:hAnsiTheme="majorHAnsi"/>
          <w:color w:val="000000"/>
          <w:sz w:val="18"/>
          <w:szCs w:val="18"/>
        </w:rPr>
        <w:t>This means that an animal has been on a drug for enough time (usually one to two weeks) so that the drug concentration is not building up in the bloodstream anymore. The time it takes to get to steady-state depends on the half-life of the drug. A drug gets to steady state in about five half-lives.</w:t>
      </w:r>
    </w:p>
    <w:p w:rsidR="00D97236" w:rsidRDefault="00D97236" w:rsidP="00D97236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D97236" w:rsidRDefault="00D97236">
      <w:pPr>
        <w:rPr>
          <w:rFonts w:asciiTheme="majorHAnsi" w:hAnsiTheme="majorHAnsi" w:cs="Univers-Light"/>
          <w:sz w:val="20"/>
          <w:szCs w:val="20"/>
        </w:rPr>
      </w:pPr>
      <w:r>
        <w:rPr>
          <w:rFonts w:asciiTheme="majorHAnsi" w:hAnsiTheme="majorHAnsi" w:cs="Univers-Light"/>
          <w:sz w:val="20"/>
          <w:szCs w:val="20"/>
        </w:rPr>
        <w:br w:type="page"/>
      </w:r>
    </w:p>
    <w:p w:rsidR="008D71C1" w:rsidRDefault="00D97236" w:rsidP="00EF1AB3">
      <w:pPr>
        <w:spacing w:after="0"/>
        <w:rPr>
          <w:rFonts w:asciiTheme="majorHAnsi" w:hAnsiTheme="majorHAnsi" w:cs="Univers-Light"/>
          <w:sz w:val="20"/>
          <w:szCs w:val="20"/>
        </w:rPr>
      </w:pPr>
      <w:r>
        <w:rPr>
          <w:rFonts w:ascii="Verdana" w:hAnsi="Verdana"/>
          <w:noProof/>
          <w:color w:val="000000"/>
          <w:sz w:val="17"/>
          <w:szCs w:val="17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-47625</wp:posOffset>
            </wp:positionH>
            <wp:positionV relativeFrom="line">
              <wp:posOffset>-628650</wp:posOffset>
            </wp:positionV>
            <wp:extent cx="3457575" cy="3152775"/>
            <wp:effectExtent l="19050" t="0" r="9525" b="0"/>
            <wp:wrapSquare wrapText="bothSides"/>
            <wp:docPr id="4" name="Picture 3" descr="Figure 3: Blood Levels of a Drug Over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3: Blood Levels of a Drug Over Tim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cs="Univers-Light"/>
          <w:sz w:val="20"/>
          <w:szCs w:val="20"/>
        </w:rPr>
        <w:br w:type="page"/>
      </w:r>
    </w:p>
    <w:p w:rsidR="00EF1AB3" w:rsidRPr="00EF1AB3" w:rsidRDefault="00EF1AB3" w:rsidP="00EF1AB3">
      <w:pPr>
        <w:spacing w:after="0"/>
        <w:rPr>
          <w:rFonts w:asciiTheme="majorHAnsi" w:hAnsiTheme="majorHAnsi" w:cs="Univers-Light"/>
          <w:sz w:val="20"/>
          <w:szCs w:val="20"/>
        </w:rPr>
      </w:pPr>
    </w:p>
    <w:p w:rsidR="008D71C1" w:rsidRPr="000A1EC1" w:rsidRDefault="008D71C1" w:rsidP="008D71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dvPSHV-BL"/>
          <w:b/>
          <w:sz w:val="32"/>
          <w:szCs w:val="32"/>
        </w:rPr>
      </w:pPr>
      <w:r w:rsidRPr="000A1EC1">
        <w:rPr>
          <w:rFonts w:asciiTheme="majorHAnsi" w:hAnsiTheme="majorHAnsi" w:cs="AdvPSHV-BL"/>
          <w:b/>
          <w:sz w:val="32"/>
          <w:szCs w:val="32"/>
        </w:rPr>
        <w:t>Combination of dexmedetomidine with buprenorphine</w:t>
      </w:r>
    </w:p>
    <w:p w:rsidR="008D71C1" w:rsidRPr="000A1EC1" w:rsidRDefault="008D71C1" w:rsidP="008D71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dvPSHV-BL"/>
          <w:b/>
          <w:sz w:val="32"/>
          <w:szCs w:val="32"/>
        </w:rPr>
      </w:pPr>
      <w:proofErr w:type="gramStart"/>
      <w:r w:rsidRPr="000A1EC1">
        <w:rPr>
          <w:rFonts w:asciiTheme="majorHAnsi" w:hAnsiTheme="majorHAnsi" w:cs="AdvPSHV-BL"/>
          <w:b/>
          <w:sz w:val="32"/>
          <w:szCs w:val="32"/>
        </w:rPr>
        <w:t>enhances</w:t>
      </w:r>
      <w:proofErr w:type="gramEnd"/>
      <w:r w:rsidRPr="000A1EC1">
        <w:rPr>
          <w:rFonts w:asciiTheme="majorHAnsi" w:hAnsiTheme="majorHAnsi" w:cs="AdvPSHV-BL"/>
          <w:b/>
          <w:sz w:val="32"/>
          <w:szCs w:val="32"/>
        </w:rPr>
        <w:t xml:space="preserve"> the antinociceptive effect to a thermal stimulus</w:t>
      </w:r>
    </w:p>
    <w:p w:rsidR="008D71C1" w:rsidRPr="000A1EC1" w:rsidRDefault="008D71C1" w:rsidP="008D71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dvPSHV-BL"/>
          <w:b/>
          <w:sz w:val="32"/>
          <w:szCs w:val="32"/>
        </w:rPr>
      </w:pPr>
      <w:proofErr w:type="gramStart"/>
      <w:r w:rsidRPr="000A1EC1">
        <w:rPr>
          <w:rFonts w:asciiTheme="majorHAnsi" w:hAnsiTheme="majorHAnsi" w:cs="AdvPSHV-BL"/>
          <w:b/>
          <w:sz w:val="32"/>
          <w:szCs w:val="32"/>
        </w:rPr>
        <w:t>in</w:t>
      </w:r>
      <w:proofErr w:type="gramEnd"/>
      <w:r w:rsidRPr="000A1EC1">
        <w:rPr>
          <w:rFonts w:asciiTheme="majorHAnsi" w:hAnsiTheme="majorHAnsi" w:cs="AdvPSHV-BL"/>
          <w:b/>
          <w:sz w:val="32"/>
          <w:szCs w:val="32"/>
        </w:rPr>
        <w:t xml:space="preserve"> the cat compared with either agent alone</w:t>
      </w: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dvPSPH-SB"/>
          <w:sz w:val="20"/>
          <w:szCs w:val="20"/>
        </w:rPr>
      </w:pP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dvPSHV-BL"/>
          <w:sz w:val="20"/>
          <w:szCs w:val="20"/>
        </w:rPr>
      </w:pPr>
      <w:r w:rsidRPr="008D71C1">
        <w:rPr>
          <w:rFonts w:asciiTheme="majorHAnsi" w:hAnsiTheme="majorHAnsi" w:cs="AdvPSPH-SB"/>
          <w:sz w:val="20"/>
          <w:szCs w:val="20"/>
        </w:rPr>
        <w:t xml:space="preserve">Louisa S </w:t>
      </w:r>
      <w:proofErr w:type="spellStart"/>
      <w:r w:rsidRPr="008D71C1">
        <w:rPr>
          <w:rFonts w:asciiTheme="majorHAnsi" w:hAnsiTheme="majorHAnsi" w:cs="AdvPSPH-SB"/>
          <w:sz w:val="20"/>
          <w:szCs w:val="20"/>
        </w:rPr>
        <w:t>Slingsby</w:t>
      </w:r>
      <w:proofErr w:type="spellEnd"/>
      <w:r w:rsidRPr="008D71C1">
        <w:rPr>
          <w:rFonts w:asciiTheme="majorHAnsi" w:hAnsiTheme="majorHAnsi" w:cs="AdvPSPH-SB"/>
          <w:sz w:val="20"/>
          <w:szCs w:val="20"/>
        </w:rPr>
        <w:t>*, Joanna C Murrell* &amp; Polly M Taylor</w:t>
      </w:r>
      <w:r w:rsidRPr="008D71C1">
        <w:rPr>
          <w:rFonts w:asciiTheme="majorHAnsi" w:hAnsiTheme="majorHAnsi" w:cs="AdvPSMP1"/>
          <w:sz w:val="20"/>
          <w:szCs w:val="20"/>
        </w:rPr>
        <w:t>_</w:t>
      </w:r>
    </w:p>
    <w:p w:rsid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HV-BL"/>
          <w:b/>
          <w:sz w:val="20"/>
          <w:szCs w:val="20"/>
        </w:rPr>
      </w:pP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proofErr w:type="gramStart"/>
      <w:r w:rsidRPr="008D71C1">
        <w:rPr>
          <w:rFonts w:asciiTheme="majorHAnsi" w:hAnsiTheme="majorHAnsi" w:cs="AdvPSPH-SB"/>
          <w:b/>
          <w:sz w:val="20"/>
          <w:szCs w:val="20"/>
        </w:rPr>
        <w:t>Objective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To evaluate the sedative and antinociceptive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effects of combinations of dexmedetomidine and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buprenorphine in cats.</w:t>
      </w:r>
      <w:proofErr w:type="gramEnd"/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8D71C1">
        <w:rPr>
          <w:rFonts w:asciiTheme="majorHAnsi" w:hAnsiTheme="majorHAnsi" w:cs="AdvPSPH-SB"/>
          <w:b/>
          <w:sz w:val="20"/>
          <w:szCs w:val="20"/>
        </w:rPr>
        <w:t>Study design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Experimental randomized study.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SB"/>
          <w:sz w:val="20"/>
          <w:szCs w:val="20"/>
        </w:rPr>
        <w:t xml:space="preserve">Animals </w:t>
      </w:r>
      <w:r w:rsidRPr="008D71C1">
        <w:rPr>
          <w:rFonts w:asciiTheme="majorHAnsi" w:hAnsiTheme="majorHAnsi" w:cs="AdvPSPH-R"/>
          <w:sz w:val="20"/>
          <w:szCs w:val="20"/>
        </w:rPr>
        <w:t>Twelve purpose-bred neutered domestic</w:t>
      </w:r>
      <w:r>
        <w:rPr>
          <w:rFonts w:asciiTheme="majorHAnsi" w:hAnsiTheme="majorHAnsi" w:cs="AdvPSPH-R"/>
          <w:sz w:val="20"/>
          <w:szCs w:val="20"/>
        </w:rPr>
        <w:t xml:space="preserve"> short-hair </w:t>
      </w:r>
      <w:r w:rsidRPr="008D71C1">
        <w:rPr>
          <w:rFonts w:asciiTheme="majorHAnsi" w:hAnsiTheme="majorHAnsi" w:cs="AdvPSPH-R"/>
          <w:sz w:val="20"/>
          <w:szCs w:val="20"/>
        </w:rPr>
        <w:t>cats (4 male and 8 female) weighing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4.6 kg (range 3.7–5.5 kg) aged from 2 to 5 years.</w:t>
      </w: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8D71C1">
        <w:rPr>
          <w:rFonts w:asciiTheme="majorHAnsi" w:hAnsiTheme="majorHAnsi" w:cs="AdvPSPH-SB"/>
          <w:b/>
          <w:sz w:val="20"/>
          <w:szCs w:val="20"/>
        </w:rPr>
        <w:t>Methods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Six cats per group were administered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 xml:space="preserve">buprenorphine (B) at 10 (B10) or 20 </w:t>
      </w:r>
      <w:proofErr w:type="spellStart"/>
      <w:r w:rsidRPr="008D71C1">
        <w:rPr>
          <w:rFonts w:asciiTheme="majorHAnsi" w:hAnsiTheme="majorHAnsi" w:cs="AdvPSMP13"/>
          <w:sz w:val="20"/>
          <w:szCs w:val="20"/>
        </w:rPr>
        <w:t>l</w:t>
      </w:r>
      <w:r w:rsidRPr="008D71C1">
        <w:rPr>
          <w:rFonts w:asciiTheme="majorHAnsi" w:hAnsiTheme="majorHAnsi" w:cs="AdvPSPH-R"/>
          <w:sz w:val="20"/>
          <w:szCs w:val="20"/>
        </w:rPr>
        <w:t>g</w:t>
      </w:r>
      <w:proofErr w:type="spellEnd"/>
      <w:r w:rsidRPr="008D71C1">
        <w:rPr>
          <w:rFonts w:asciiTheme="majorHAnsi" w:hAnsiTheme="majorHAnsi" w:cs="AdvPSPH-R"/>
          <w:sz w:val="20"/>
          <w:szCs w:val="20"/>
        </w:rPr>
        <w:t xml:space="preserve"> kg</w:t>
      </w:r>
      <w:proofErr w:type="gramStart"/>
      <w:r w:rsidRPr="008D71C1">
        <w:rPr>
          <w:rFonts w:asciiTheme="majorHAnsi" w:hAnsiTheme="majorHAnsi" w:cs="AdvPSSPS-AS"/>
          <w:sz w:val="20"/>
          <w:szCs w:val="20"/>
        </w:rPr>
        <w:t>)</w:t>
      </w:r>
      <w:r w:rsidRPr="008D71C1">
        <w:rPr>
          <w:rFonts w:asciiTheme="majorHAnsi" w:hAnsiTheme="majorHAnsi" w:cs="AdvPSPH-R"/>
          <w:sz w:val="20"/>
          <w:szCs w:val="20"/>
        </w:rPr>
        <w:t>1</w:t>
      </w:r>
      <w:proofErr w:type="gramEnd"/>
      <w:r>
        <w:rPr>
          <w:rFonts w:asciiTheme="majorHAnsi" w:hAnsiTheme="majorHAnsi" w:cs="AdvPSPH-R"/>
          <w:sz w:val="20"/>
          <w:szCs w:val="20"/>
        </w:rPr>
        <w:t xml:space="preserve"> (B20) or </w:t>
      </w:r>
      <w:r w:rsidRPr="008D71C1">
        <w:rPr>
          <w:rFonts w:asciiTheme="majorHAnsi" w:hAnsiTheme="majorHAnsi" w:cs="AdvPSPH-R"/>
          <w:sz w:val="20"/>
          <w:szCs w:val="20"/>
        </w:rPr>
        <w:t>dexmedetomidine (D) at 20 (D20) or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 xml:space="preserve">40 </w:t>
      </w:r>
      <w:proofErr w:type="spellStart"/>
      <w:r w:rsidRPr="008D71C1">
        <w:rPr>
          <w:rFonts w:asciiTheme="majorHAnsi" w:hAnsiTheme="majorHAnsi" w:cs="AdvPSMP13"/>
          <w:sz w:val="20"/>
          <w:szCs w:val="20"/>
        </w:rPr>
        <w:t>l</w:t>
      </w:r>
      <w:r w:rsidRPr="008D71C1">
        <w:rPr>
          <w:rFonts w:asciiTheme="majorHAnsi" w:hAnsiTheme="majorHAnsi" w:cs="AdvPSPH-R"/>
          <w:sz w:val="20"/>
          <w:szCs w:val="20"/>
        </w:rPr>
        <w:t>g</w:t>
      </w:r>
      <w:proofErr w:type="spellEnd"/>
      <w:r w:rsidRPr="008D71C1">
        <w:rPr>
          <w:rFonts w:asciiTheme="majorHAnsi" w:hAnsiTheme="majorHAnsi" w:cs="AdvPSPH-R"/>
          <w:sz w:val="20"/>
          <w:szCs w:val="20"/>
        </w:rPr>
        <w:t xml:space="preserve"> kg</w:t>
      </w:r>
      <w:r w:rsidRPr="008D71C1">
        <w:rPr>
          <w:rFonts w:asciiTheme="majorHAnsi" w:hAnsiTheme="majorHAnsi" w:cs="AdvPSSPS-AS"/>
          <w:sz w:val="20"/>
          <w:szCs w:val="20"/>
        </w:rPr>
        <w:t>)</w:t>
      </w:r>
      <w:r w:rsidRPr="008D71C1">
        <w:rPr>
          <w:rFonts w:asciiTheme="majorHAnsi" w:hAnsiTheme="majorHAnsi" w:cs="AdvPSPH-R"/>
          <w:sz w:val="20"/>
          <w:szCs w:val="20"/>
        </w:rPr>
        <w:t>1 (D40) or a combination of B10/D20. A</w:t>
      </w:r>
      <w:r>
        <w:rPr>
          <w:rFonts w:asciiTheme="majorHAnsi" w:hAnsiTheme="majorHAnsi" w:cs="AdvPSPH-R"/>
          <w:sz w:val="20"/>
          <w:szCs w:val="20"/>
        </w:rPr>
        <w:t xml:space="preserve"> feline thermal </w:t>
      </w:r>
      <w:proofErr w:type="spellStart"/>
      <w:r w:rsidRPr="008D71C1">
        <w:rPr>
          <w:rFonts w:asciiTheme="majorHAnsi" w:hAnsiTheme="majorHAnsi" w:cs="AdvPSPH-R"/>
          <w:sz w:val="20"/>
          <w:szCs w:val="20"/>
        </w:rPr>
        <w:t>nociceptive</w:t>
      </w:r>
      <w:proofErr w:type="spellEnd"/>
      <w:r w:rsidRPr="008D71C1">
        <w:rPr>
          <w:rFonts w:asciiTheme="majorHAnsi" w:hAnsiTheme="majorHAnsi" w:cs="AdvPSPH-R"/>
          <w:sz w:val="20"/>
          <w:szCs w:val="20"/>
        </w:rPr>
        <w:t xml:space="preserve"> threshold testing device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was used to evaluate the antinociceptive effects of</w:t>
      </w:r>
      <w:r>
        <w:rPr>
          <w:rFonts w:asciiTheme="majorHAnsi" w:hAnsiTheme="majorHAnsi" w:cs="AdvPSPH-R"/>
          <w:sz w:val="20"/>
          <w:szCs w:val="20"/>
        </w:rPr>
        <w:t xml:space="preserve"> the drugs before and </w:t>
      </w:r>
      <w:r w:rsidRPr="008D71C1">
        <w:rPr>
          <w:rFonts w:asciiTheme="majorHAnsi" w:hAnsiTheme="majorHAnsi" w:cs="AdvPSPH-R"/>
          <w:sz w:val="20"/>
          <w:szCs w:val="20"/>
        </w:rPr>
        <w:t>up to 24 hours after drug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treatment. Sedation was scored using a 100 mm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visual analogue scale (VAS).</w:t>
      </w: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8D71C1">
        <w:rPr>
          <w:rFonts w:asciiTheme="majorHAnsi" w:hAnsiTheme="majorHAnsi" w:cs="AdvPSPH-SB"/>
          <w:b/>
          <w:sz w:val="20"/>
          <w:szCs w:val="20"/>
        </w:rPr>
        <w:t>Results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Thermal thresholds increased significantly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after administration of all but D20. Area under the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 xml:space="preserve">curve (AUC, hours </w:t>
      </w:r>
      <w:r w:rsidRPr="008D71C1">
        <w:rPr>
          <w:rFonts w:asciiTheme="majorHAnsi" w:hAnsiTheme="majorHAnsi" w:cs="AdvPSSym"/>
          <w:sz w:val="20"/>
          <w:szCs w:val="20"/>
        </w:rPr>
        <w:t>_</w:t>
      </w:r>
      <w:r w:rsidRPr="008D71C1">
        <w:rPr>
          <w:rFonts w:asciiTheme="majorHAnsi" w:hAnsiTheme="majorHAnsi" w:cs="AdvPSPH-R"/>
          <w:sz w:val="20"/>
          <w:szCs w:val="20"/>
        </w:rPr>
        <w:t>C) for the first 6 hours (mean ±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SD) for B20 (281 ± 17.8) was significantly greater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than B10 (260 ± 11.4), D20 (250 ± 7.9) and D40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(255 ± 11.4). The AUC for B10/D20 (273 ± 12.2)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was significantly greater than D20 but not the other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treatments. No sedation was seen after administration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of B10 or B20 and maximal sedation was seen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for all animals in the D40 and B10/D20 groups and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most animals in the D20 group.</w:t>
      </w:r>
    </w:p>
    <w:p w:rsidR="008D71C1" w:rsidRPr="008D71C1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8D71C1">
        <w:rPr>
          <w:rFonts w:asciiTheme="majorHAnsi" w:hAnsiTheme="majorHAnsi" w:cs="AdvPSPH-SB"/>
          <w:b/>
          <w:sz w:val="20"/>
          <w:szCs w:val="20"/>
        </w:rPr>
        <w:t>Conclusions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D20 alone had the smallest analgesic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effect; B10 alone provided no sedation but their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combination gave good sedation with analgesia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comparable with B20.</w:t>
      </w:r>
    </w:p>
    <w:p w:rsidR="002A4539" w:rsidRDefault="008D71C1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8D71C1">
        <w:rPr>
          <w:rFonts w:asciiTheme="majorHAnsi" w:hAnsiTheme="majorHAnsi" w:cs="AdvPSPH-SB"/>
          <w:b/>
          <w:sz w:val="20"/>
          <w:szCs w:val="20"/>
        </w:rPr>
        <w:t>Clinical relevance</w:t>
      </w:r>
      <w:r w:rsidRPr="008D71C1">
        <w:rPr>
          <w:rFonts w:asciiTheme="majorHAnsi" w:hAnsiTheme="majorHAnsi" w:cs="AdvPSPH-SB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This combination could be a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useful multimodal sedative/analgesic regimen in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8D71C1">
        <w:rPr>
          <w:rFonts w:asciiTheme="majorHAnsi" w:hAnsiTheme="majorHAnsi" w:cs="AdvPSPH-R"/>
          <w:sz w:val="20"/>
          <w:szCs w:val="20"/>
        </w:rPr>
        <w:t>cats.</w:t>
      </w:r>
    </w:p>
    <w:p w:rsidR="00475970" w:rsidRDefault="00475970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475970" w:rsidRDefault="00475970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• Buprenorphine in healthy cats causes little to no sedation </w:t>
      </w:r>
    </w:p>
    <w:p w:rsidR="00475970" w:rsidRDefault="00475970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 Dexmedetomidine in healthy cats causes little analgesia but good sedation</w:t>
      </w:r>
    </w:p>
    <w:p w:rsidR="00475970" w:rsidRDefault="00475970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• Combining </w:t>
      </w:r>
      <w:proofErr w:type="spellStart"/>
      <w:r>
        <w:rPr>
          <w:rFonts w:asciiTheme="majorHAnsi" w:hAnsiTheme="majorHAnsi" w:cs="AdvPSPH-R"/>
          <w:sz w:val="20"/>
          <w:szCs w:val="20"/>
        </w:rPr>
        <w:t>dexmedetmidine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with </w:t>
      </w:r>
      <w:proofErr w:type="spellStart"/>
      <w:r>
        <w:rPr>
          <w:rFonts w:asciiTheme="majorHAnsi" w:hAnsiTheme="majorHAnsi" w:cs="AdvPSPH-R"/>
          <w:sz w:val="20"/>
          <w:szCs w:val="20"/>
        </w:rPr>
        <w:t>buprenorphine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resulted in good sedation combined with analgesia and no significant side effects</w:t>
      </w:r>
    </w:p>
    <w:p w:rsidR="00475970" w:rsidRDefault="00475970" w:rsidP="008D71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475970" w:rsidRDefault="0047597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475970">
        <w:rPr>
          <w:rFonts w:asciiTheme="majorHAnsi" w:hAnsiTheme="majorHAnsi" w:cs="AdvPSPH-R"/>
          <w:sz w:val="20"/>
          <w:szCs w:val="20"/>
        </w:rPr>
        <w:t>1.</w:t>
      </w:r>
      <w:r>
        <w:rPr>
          <w:rFonts w:asciiTheme="majorHAnsi" w:hAnsiTheme="majorHAnsi" w:cs="AdvPSPH-R"/>
          <w:sz w:val="20"/>
          <w:szCs w:val="20"/>
        </w:rPr>
        <w:t xml:space="preserve"> </w:t>
      </w:r>
      <w:r w:rsidRPr="00475970">
        <w:rPr>
          <w:rFonts w:asciiTheme="majorHAnsi" w:hAnsiTheme="majorHAnsi" w:cs="AdvPSPH-R"/>
          <w:sz w:val="20"/>
          <w:szCs w:val="20"/>
        </w:rPr>
        <w:t xml:space="preserve"> </w:t>
      </w:r>
      <w:r w:rsidR="008B19B5">
        <w:rPr>
          <w:rFonts w:asciiTheme="majorHAnsi" w:hAnsiTheme="majorHAnsi" w:cs="AdvPSPH-R"/>
          <w:sz w:val="20"/>
          <w:szCs w:val="20"/>
        </w:rPr>
        <w:t>All of the following are true of buprenorphine in cats except</w:t>
      </w:r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a. Does not cause post-anesthetic hyperthermia</w:t>
      </w:r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b. Provides effective and long lasting analgesia in cats undergoing neuter and orthopedic procedures</w:t>
      </w:r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r w:rsidRPr="008B19B5">
        <w:rPr>
          <w:rFonts w:asciiTheme="majorHAnsi" w:hAnsiTheme="majorHAnsi" w:cs="AdvPSPH-R"/>
          <w:sz w:val="20"/>
          <w:szCs w:val="20"/>
          <w:highlight w:val="yellow"/>
        </w:rPr>
        <w:t xml:space="preserve">c. Is an effective single agent in cats after major abdominal </w:t>
      </w:r>
      <w:proofErr w:type="gramStart"/>
      <w:r w:rsidRPr="008B19B5">
        <w:rPr>
          <w:rFonts w:asciiTheme="majorHAnsi" w:hAnsiTheme="majorHAnsi" w:cs="AdvPSPH-R"/>
          <w:sz w:val="20"/>
          <w:szCs w:val="20"/>
          <w:highlight w:val="yellow"/>
        </w:rPr>
        <w:t>surgery</w:t>
      </w:r>
      <w:proofErr w:type="gramEnd"/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d. Can be administered IV, IM and oral </w:t>
      </w:r>
      <w:proofErr w:type="spellStart"/>
      <w:r>
        <w:rPr>
          <w:rFonts w:asciiTheme="majorHAnsi" w:hAnsiTheme="majorHAnsi" w:cs="AdvPSPH-R"/>
          <w:sz w:val="20"/>
          <w:szCs w:val="20"/>
        </w:rPr>
        <w:t>transmucosal</w:t>
      </w:r>
      <w:proofErr w:type="spellEnd"/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AA4340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2.</w:t>
      </w:r>
      <w:r w:rsidR="00AA4340">
        <w:rPr>
          <w:rFonts w:asciiTheme="majorHAnsi" w:hAnsiTheme="majorHAnsi" w:cs="AdvPSPH-R"/>
          <w:sz w:val="20"/>
          <w:szCs w:val="20"/>
        </w:rPr>
        <w:t xml:space="preserve"> According to the study by </w:t>
      </w:r>
      <w:proofErr w:type="spellStart"/>
      <w:r w:rsidR="00AA4340">
        <w:rPr>
          <w:rFonts w:asciiTheme="majorHAnsi" w:hAnsiTheme="majorHAnsi" w:cs="AdvPSPH-R"/>
          <w:sz w:val="20"/>
          <w:szCs w:val="20"/>
        </w:rPr>
        <w:t>Slingsby</w:t>
      </w:r>
      <w:proofErr w:type="spellEnd"/>
      <w:r w:rsidR="00AA4340">
        <w:rPr>
          <w:rFonts w:asciiTheme="majorHAnsi" w:hAnsiTheme="majorHAnsi" w:cs="AdvPSPH-R"/>
          <w:sz w:val="20"/>
          <w:szCs w:val="20"/>
        </w:rPr>
        <w:t xml:space="preserve"> et al. 2008, the optimal analgesic dose of dexmedetomidine in healthy cats is</w:t>
      </w:r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a. 10 mcg/kg</w:t>
      </w:r>
      <w:proofErr w:type="gramEnd"/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b. 20 mcg/kg</w:t>
      </w:r>
      <w:proofErr w:type="gramEnd"/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c. 30 mcg/kg</w:t>
      </w:r>
      <w:proofErr w:type="gramEnd"/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AA4340">
        <w:rPr>
          <w:rFonts w:asciiTheme="majorHAnsi" w:hAnsiTheme="majorHAnsi" w:cs="AdvPSPH-R"/>
          <w:sz w:val="20"/>
          <w:szCs w:val="20"/>
          <w:highlight w:val="yellow"/>
        </w:rPr>
        <w:t>d. 40 mcg/kg</w:t>
      </w:r>
      <w:proofErr w:type="gramEnd"/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3. It has been suggested that the site of action of opioid and alpha-2 agonist interaction is where?</w:t>
      </w:r>
    </w:p>
    <w:p w:rsidR="00AA4340" w:rsidRDefault="00AA4340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083CB6">
        <w:rPr>
          <w:rFonts w:asciiTheme="majorHAnsi" w:hAnsiTheme="majorHAnsi" w:cs="AdvPSPH-R"/>
          <w:sz w:val="20"/>
          <w:szCs w:val="20"/>
          <w:highlight w:val="yellow"/>
        </w:rPr>
        <w:t>a</w:t>
      </w:r>
      <w:proofErr w:type="gramEnd"/>
      <w:r w:rsidRPr="00083CB6">
        <w:rPr>
          <w:rFonts w:asciiTheme="majorHAnsi" w:hAnsiTheme="majorHAnsi" w:cs="AdvPSPH-R"/>
          <w:sz w:val="20"/>
          <w:szCs w:val="20"/>
          <w:highlight w:val="yellow"/>
        </w:rPr>
        <w:t xml:space="preserve">. </w:t>
      </w:r>
      <w:r w:rsidR="00083CB6" w:rsidRPr="00083CB6">
        <w:rPr>
          <w:rFonts w:asciiTheme="majorHAnsi" w:hAnsiTheme="majorHAnsi" w:cs="AdvPSPH-R"/>
          <w:sz w:val="20"/>
          <w:szCs w:val="20"/>
          <w:highlight w:val="yellow"/>
        </w:rPr>
        <w:t>spinal cord</w:t>
      </w:r>
    </w:p>
    <w:p w:rsidR="00083CB6" w:rsidRDefault="00083CB6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b</w:t>
      </w:r>
      <w:proofErr w:type="gramEnd"/>
      <w:r>
        <w:rPr>
          <w:rFonts w:asciiTheme="majorHAnsi" w:hAnsiTheme="majorHAnsi" w:cs="AdvPSPH-R"/>
          <w:sz w:val="20"/>
          <w:szCs w:val="20"/>
        </w:rPr>
        <w:t>. brain stem</w:t>
      </w:r>
    </w:p>
    <w:p w:rsidR="00083CB6" w:rsidRDefault="00083CB6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c</w:t>
      </w:r>
      <w:proofErr w:type="gramEnd"/>
      <w:r>
        <w:rPr>
          <w:rFonts w:asciiTheme="majorHAnsi" w:hAnsiTheme="majorHAnsi" w:cs="AdvPSPH-R"/>
          <w:sz w:val="20"/>
          <w:szCs w:val="20"/>
        </w:rPr>
        <w:t>. cerebral cortex</w:t>
      </w:r>
    </w:p>
    <w:p w:rsidR="00083CB6" w:rsidRDefault="00083CB6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d</w:t>
      </w:r>
      <w:proofErr w:type="gramEnd"/>
      <w:r>
        <w:rPr>
          <w:rFonts w:asciiTheme="majorHAnsi" w:hAnsiTheme="majorHAnsi" w:cs="AdvPSPH-R"/>
          <w:sz w:val="20"/>
          <w:szCs w:val="20"/>
        </w:rPr>
        <w:t xml:space="preserve">. </w:t>
      </w:r>
      <w:proofErr w:type="spellStart"/>
      <w:r>
        <w:rPr>
          <w:rFonts w:asciiTheme="majorHAnsi" w:hAnsiTheme="majorHAnsi" w:cs="AdvPSPH-R"/>
          <w:sz w:val="20"/>
          <w:szCs w:val="20"/>
        </w:rPr>
        <w:t>pontine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nuclei</w:t>
      </w:r>
    </w:p>
    <w:p w:rsidR="00083CB6" w:rsidRDefault="00083CB6" w:rsidP="00475970">
      <w:pPr>
        <w:autoSpaceDE w:val="0"/>
        <w:autoSpaceDN w:val="0"/>
        <w:adjustRightInd w:val="0"/>
        <w:spacing w:after="0" w:line="240" w:lineRule="auto"/>
      </w:pPr>
    </w:p>
    <w:p w:rsidR="00083CB6" w:rsidRPr="00083CB6" w:rsidRDefault="00083CB6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 w:rsidRPr="00083CB6">
        <w:rPr>
          <w:sz w:val="20"/>
          <w:szCs w:val="20"/>
        </w:rPr>
        <w:t xml:space="preserve">The </w:t>
      </w:r>
      <w:r w:rsidRPr="00083CB6">
        <w:rPr>
          <w:noProof/>
          <w:sz w:val="20"/>
          <w:szCs w:val="20"/>
        </w:rPr>
        <w:drawing>
          <wp:inline distT="0" distB="0" distL="0" distR="0">
            <wp:extent cx="76200" cy="66675"/>
            <wp:effectExtent l="19050" t="0" r="0" b="0"/>
            <wp:docPr id="1" name="Picture 1" descr="alph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pha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CB6">
        <w:rPr>
          <w:sz w:val="20"/>
          <w:szCs w:val="20"/>
          <w:vertAlign w:val="subscript"/>
        </w:rPr>
        <w:t>2a</w:t>
      </w:r>
      <w:r w:rsidRPr="00083CB6">
        <w:rPr>
          <w:sz w:val="20"/>
          <w:szCs w:val="20"/>
        </w:rPr>
        <w:t xml:space="preserve">AR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adrenoreceptor</w:t>
      </w:r>
      <w:proofErr w:type="spellEnd"/>
      <w:r>
        <w:rPr>
          <w:sz w:val="20"/>
          <w:szCs w:val="20"/>
        </w:rPr>
        <w:t xml:space="preserve">) </w:t>
      </w:r>
      <w:r w:rsidRPr="00083CB6">
        <w:rPr>
          <w:sz w:val="20"/>
          <w:szCs w:val="20"/>
        </w:rPr>
        <w:t>subtype is the primary mediator of</w:t>
      </w:r>
      <w:r w:rsidRPr="00083CB6">
        <w:rPr>
          <w:sz w:val="20"/>
          <w:szCs w:val="20"/>
          <w:vertAlign w:val="superscript"/>
        </w:rPr>
        <w:t xml:space="preserve"> </w:t>
      </w:r>
      <w:r w:rsidRPr="00083CB6">
        <w:rPr>
          <w:noProof/>
          <w:sz w:val="20"/>
          <w:szCs w:val="20"/>
        </w:rPr>
        <w:drawing>
          <wp:inline distT="0" distB="0" distL="0" distR="0">
            <wp:extent cx="76200" cy="66675"/>
            <wp:effectExtent l="19050" t="0" r="0" b="0"/>
            <wp:docPr id="2" name="Picture 2" descr="alph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pha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CB6">
        <w:rPr>
          <w:sz w:val="20"/>
          <w:szCs w:val="20"/>
          <w:vertAlign w:val="subscript"/>
        </w:rPr>
        <w:t>2</w:t>
      </w:r>
      <w:r w:rsidRPr="00083CB6">
        <w:rPr>
          <w:sz w:val="20"/>
          <w:szCs w:val="20"/>
        </w:rPr>
        <w:t xml:space="preserve"> adrenergic spinal analgesia and is necessary for analgesic</w:t>
      </w:r>
      <w:r w:rsidRPr="00083CB6">
        <w:rPr>
          <w:sz w:val="20"/>
          <w:szCs w:val="20"/>
          <w:vertAlign w:val="superscript"/>
        </w:rPr>
        <w:t xml:space="preserve"> </w:t>
      </w:r>
      <w:r w:rsidRPr="00083CB6">
        <w:rPr>
          <w:sz w:val="20"/>
          <w:szCs w:val="20"/>
        </w:rPr>
        <w:t xml:space="preserve">synergy with </w:t>
      </w:r>
      <w:proofErr w:type="spellStart"/>
      <w:r w:rsidRPr="00083CB6">
        <w:rPr>
          <w:sz w:val="20"/>
          <w:szCs w:val="20"/>
        </w:rPr>
        <w:t>opioids</w:t>
      </w:r>
      <w:proofErr w:type="spellEnd"/>
      <w:r w:rsidRPr="00083CB6">
        <w:rPr>
          <w:sz w:val="20"/>
          <w:szCs w:val="20"/>
        </w:rPr>
        <w:t>.</w:t>
      </w:r>
      <w:r w:rsidR="004420C6">
        <w:rPr>
          <w:sz w:val="20"/>
          <w:szCs w:val="20"/>
        </w:rPr>
        <w:t xml:space="preserve"> (Stone et al. 1997 </w:t>
      </w:r>
      <w:r w:rsidR="004420C6" w:rsidRPr="004420C6">
        <w:rPr>
          <w:i/>
          <w:sz w:val="20"/>
          <w:szCs w:val="20"/>
        </w:rPr>
        <w:t>J of Neuroscience</w:t>
      </w:r>
      <w:r w:rsidR="004420C6">
        <w:rPr>
          <w:sz w:val="20"/>
          <w:szCs w:val="20"/>
        </w:rPr>
        <w:t>)</w:t>
      </w:r>
    </w:p>
    <w:p w:rsidR="008B19B5" w:rsidRDefault="008B19B5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     </w:t>
      </w:r>
    </w:p>
    <w:p w:rsidR="000A1EC1" w:rsidRDefault="000A1EC1">
      <w:pPr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br w:type="page"/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r w:rsidRPr="000A1EC1">
        <w:rPr>
          <w:rFonts w:asciiTheme="majorHAnsi" w:hAnsiTheme="majorHAnsi" w:cs="Univers-Black"/>
          <w:b/>
          <w:sz w:val="32"/>
          <w:szCs w:val="32"/>
        </w:rPr>
        <w:lastRenderedPageBreak/>
        <w:t>Case-control study to evaluate risk factors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0A1EC1">
        <w:rPr>
          <w:rFonts w:asciiTheme="majorHAnsi" w:hAnsiTheme="majorHAnsi" w:cs="Univers-Black"/>
          <w:b/>
          <w:sz w:val="32"/>
          <w:szCs w:val="32"/>
        </w:rPr>
        <w:t>for</w:t>
      </w:r>
      <w:proofErr w:type="gram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the development of sepsis (</w:t>
      </w:r>
      <w:proofErr w:type="spellStart"/>
      <w:r w:rsidRPr="000A1EC1">
        <w:rPr>
          <w:rFonts w:asciiTheme="majorHAnsi" w:hAnsiTheme="majorHAnsi" w:cs="Univers-Black"/>
          <w:b/>
          <w:sz w:val="32"/>
          <w:szCs w:val="32"/>
        </w:rPr>
        <w:t>neutropenia</w:t>
      </w:r>
      <w:proofErr w:type="spellEnd"/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0A1EC1">
        <w:rPr>
          <w:rFonts w:asciiTheme="majorHAnsi" w:hAnsiTheme="majorHAnsi" w:cs="Univers-Black"/>
          <w:b/>
          <w:sz w:val="32"/>
          <w:szCs w:val="32"/>
        </w:rPr>
        <w:t>and</w:t>
      </w:r>
      <w:proofErr w:type="gram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fever) in dogs receiving chemotherapy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0A1EC1">
        <w:rPr>
          <w:rFonts w:asciiTheme="majorHAnsi" w:hAnsiTheme="majorHAnsi" w:cs="Berkeley-Medium"/>
          <w:sz w:val="20"/>
          <w:szCs w:val="20"/>
        </w:rPr>
        <w:t xml:space="preserve">Karin U.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Sorenmo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dacvim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; Lisa P. Harwood,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vmd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>;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0A1EC1">
        <w:rPr>
          <w:rFonts w:asciiTheme="majorHAnsi" w:hAnsiTheme="majorHAnsi" w:cs="Berkeley-Medium"/>
          <w:sz w:val="20"/>
          <w:szCs w:val="20"/>
        </w:rPr>
        <w:t xml:space="preserve">Lesley G. King,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mvb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dacvecc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dacvim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; Kenneth J.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Drobatz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msce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dacvim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dacvecc</w:t>
      </w:r>
      <w:proofErr w:type="spellEnd"/>
    </w:p>
    <w:p w:rsid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old"/>
          <w:b/>
          <w:bCs/>
          <w:sz w:val="20"/>
          <w:szCs w:val="20"/>
        </w:rPr>
      </w:pP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Objective</w:t>
      </w:r>
      <w:r w:rsidRPr="000A1EC1">
        <w:rPr>
          <w:rFonts w:asciiTheme="majorHAnsi" w:hAnsiTheme="majorHAnsi" w:cs="Univers-Light"/>
          <w:sz w:val="20"/>
          <w:szCs w:val="20"/>
        </w:rPr>
        <w:t>—</w:t>
      </w:r>
      <w:proofErr w:type="gramStart"/>
      <w:r w:rsidRPr="000A1EC1">
        <w:rPr>
          <w:rFonts w:asciiTheme="majorHAnsi" w:hAnsiTheme="majorHAnsi" w:cs="Univers-Light"/>
          <w:sz w:val="20"/>
          <w:szCs w:val="20"/>
        </w:rPr>
        <w:t>To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identify risk factors for development of sepsis in dogs treated with chemotherapeutics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and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to evaluate the impact of sepsis on outcome.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Bold"/>
          <w:b/>
          <w:bCs/>
          <w:sz w:val="20"/>
          <w:szCs w:val="20"/>
        </w:rPr>
        <w:t>Design</w:t>
      </w:r>
      <w:r w:rsidRPr="000A1EC1">
        <w:rPr>
          <w:rFonts w:asciiTheme="majorHAnsi" w:hAnsiTheme="majorHAnsi" w:cs="Univers-Light"/>
          <w:sz w:val="20"/>
          <w:szCs w:val="20"/>
        </w:rPr>
        <w:t>—Case-control study.</w:t>
      </w:r>
      <w:proofErr w:type="gramEnd"/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Animals</w:t>
      </w:r>
      <w:r w:rsidRPr="000A1EC1">
        <w:rPr>
          <w:rFonts w:asciiTheme="majorHAnsi" w:hAnsiTheme="majorHAnsi" w:cs="Univers-Light"/>
          <w:sz w:val="20"/>
          <w:szCs w:val="20"/>
        </w:rPr>
        <w:t>—Client-owned dogs with various cancers undergoing standard chemotherapeutic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treatment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at the University of Pennsylvania veterinary hospital.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Procedures</w:t>
      </w:r>
      <w:r w:rsidRPr="000A1EC1">
        <w:rPr>
          <w:rFonts w:asciiTheme="majorHAnsi" w:hAnsiTheme="majorHAnsi" w:cs="Univers-Light"/>
          <w:sz w:val="20"/>
          <w:szCs w:val="20"/>
        </w:rPr>
        <w:t>—39 dogs with sepsis (cases) were identified through a search of the medical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record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database. Controls (n = 77) were randomly selected from dogs admitted during the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same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time period. Variables analyzed included patient demographics, tumor type, stage,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remission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status, treatment phase, chemotherapeutics used, and outcome.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Results</w:t>
      </w:r>
      <w:r w:rsidRPr="000A1EC1">
        <w:rPr>
          <w:rFonts w:asciiTheme="majorHAnsi" w:hAnsiTheme="majorHAnsi" w:cs="Univers-Light"/>
          <w:sz w:val="20"/>
          <w:szCs w:val="20"/>
        </w:rPr>
        <w:t>—Dogs that weighed less and dogs with lymphoma were significantly more likely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to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become septic, compared with larger dogs or dogs with solid tumors. Septic dogs were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also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significantly more likely to have received doxorubicin (odds ratio [OR], 12.5; 95% confidence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interval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[CI], 2.4 to 66.0) or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vincristine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(OR, 9.0; 95% CI, 1.6 to 52.0) than controls.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Light"/>
          <w:sz w:val="20"/>
          <w:szCs w:val="20"/>
        </w:rPr>
        <w:t>Of the 39 cases, 28 (71.8%) were in the induction phase of their protocol, and 19 of 39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Light"/>
          <w:sz w:val="20"/>
          <w:szCs w:val="20"/>
        </w:rPr>
        <w:t>(48.7%) became septic after receiving the chemotherapeutic drug for the first time. Median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survival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time of the cases (253 days) was not significantly different from that of the controls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Light"/>
          <w:sz w:val="20"/>
          <w:szCs w:val="20"/>
        </w:rPr>
        <w:t>(371 days).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Conclusions and Clinical Relevance</w:t>
      </w:r>
      <w:r w:rsidRPr="000A1EC1">
        <w:rPr>
          <w:rFonts w:asciiTheme="majorHAnsi" w:hAnsiTheme="majorHAnsi" w:cs="Univers-Light"/>
          <w:sz w:val="20"/>
          <w:szCs w:val="20"/>
        </w:rPr>
        <w:t>—Dogs that weighed less were at increased risk for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chemotherapy-induced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sepsis. Tumor type and chemotherapeutic drug used were also important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risk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factors. These results may lead to the implementation of prophylactic measures,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especially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when doxorubicin or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vincristine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is used in the induction phase in small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lack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dogs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with lymphoma. (</w:t>
      </w:r>
      <w:r w:rsidRPr="000A1EC1">
        <w:rPr>
          <w:rFonts w:asciiTheme="majorHAnsi" w:hAnsiTheme="majorHAnsi" w:cs="Univers-LightOblique"/>
          <w:i/>
          <w:iCs/>
          <w:sz w:val="20"/>
          <w:szCs w:val="20"/>
        </w:rPr>
        <w:t xml:space="preserve">J Am Vet Med Assoc </w:t>
      </w:r>
      <w:r w:rsidRPr="000A1EC1">
        <w:rPr>
          <w:rFonts w:asciiTheme="majorHAnsi" w:hAnsiTheme="majorHAnsi" w:cs="Univers-Light"/>
          <w:sz w:val="20"/>
          <w:szCs w:val="20"/>
        </w:rPr>
        <w:t>2010</w:t>
      </w:r>
      <w:proofErr w:type="gramStart"/>
      <w:r w:rsidRPr="000A1EC1">
        <w:rPr>
          <w:rFonts w:asciiTheme="majorHAnsi" w:hAnsiTheme="majorHAnsi" w:cs="Univers-Light"/>
          <w:sz w:val="20"/>
          <w:szCs w:val="20"/>
        </w:rPr>
        <w:t>;236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>;650–656)</w:t>
      </w:r>
    </w:p>
    <w:p w:rsidR="00071E76" w:rsidRDefault="00071E76" w:rsidP="00EF1AB3">
      <w:pPr>
        <w:spacing w:after="0"/>
        <w:rPr>
          <w:rFonts w:asciiTheme="majorHAnsi" w:hAnsiTheme="majorHAnsi" w:cs="AdvPSPH-R"/>
          <w:sz w:val="20"/>
          <w:szCs w:val="20"/>
        </w:rPr>
      </w:pPr>
    </w:p>
    <w:p w:rsidR="00EF1AB3" w:rsidRDefault="00EF1AB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071E76">
        <w:rPr>
          <w:rFonts w:asciiTheme="majorHAnsi" w:hAnsiTheme="majorHAnsi" w:cs="AdvPSPH-R"/>
          <w:sz w:val="20"/>
          <w:szCs w:val="20"/>
        </w:rPr>
        <w:t xml:space="preserve"> Dogs that weigh less are at increased risk for development of chemotherapy-induced sepsis (regardless of body condition)</w:t>
      </w:r>
    </w:p>
    <w:p w:rsidR="00EF1AB3" w:rsidRDefault="00EF1AB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071E76">
        <w:rPr>
          <w:rFonts w:asciiTheme="majorHAnsi" w:hAnsiTheme="majorHAnsi" w:cs="AdvPSPH-R"/>
          <w:sz w:val="20"/>
          <w:szCs w:val="20"/>
        </w:rPr>
        <w:t xml:space="preserve"> Septic dogs were more likely to have received </w:t>
      </w:r>
      <w:proofErr w:type="spellStart"/>
      <w:r w:rsidR="00071E76">
        <w:rPr>
          <w:rFonts w:asciiTheme="majorHAnsi" w:hAnsiTheme="majorHAnsi" w:cs="AdvPSPH-R"/>
          <w:sz w:val="20"/>
          <w:szCs w:val="20"/>
        </w:rPr>
        <w:t>doxorubricin</w:t>
      </w:r>
      <w:proofErr w:type="spellEnd"/>
      <w:r w:rsidR="00071E76">
        <w:rPr>
          <w:rFonts w:asciiTheme="majorHAnsi" w:hAnsiTheme="majorHAnsi" w:cs="AdvPSPH-R"/>
          <w:sz w:val="20"/>
          <w:szCs w:val="20"/>
        </w:rPr>
        <w:t xml:space="preserve"> or </w:t>
      </w:r>
      <w:proofErr w:type="spellStart"/>
      <w:r w:rsidR="00071E76">
        <w:rPr>
          <w:rFonts w:asciiTheme="majorHAnsi" w:hAnsiTheme="majorHAnsi" w:cs="AdvPSPH-R"/>
          <w:sz w:val="20"/>
          <w:szCs w:val="20"/>
        </w:rPr>
        <w:t>vincristine</w:t>
      </w:r>
      <w:proofErr w:type="spellEnd"/>
    </w:p>
    <w:p w:rsidR="00071E76" w:rsidRDefault="00EF1AB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071E76">
        <w:rPr>
          <w:rFonts w:asciiTheme="majorHAnsi" w:hAnsiTheme="majorHAnsi" w:cs="AdvPSPH-R"/>
          <w:sz w:val="20"/>
          <w:szCs w:val="20"/>
        </w:rPr>
        <w:t xml:space="preserve"> Tumor type was not a significant independent risk factor for development of sepsis but dogs with lymphoma were significantly more likely to become septic than were dogs with solid tumors</w:t>
      </w:r>
    </w:p>
    <w:p w:rsidR="00071E76" w:rsidRDefault="00071E76" w:rsidP="00EF1AB3">
      <w:pPr>
        <w:spacing w:after="0"/>
        <w:rPr>
          <w:rFonts w:asciiTheme="majorHAnsi" w:hAnsiTheme="majorHAnsi" w:cs="AdvPSPH-R"/>
          <w:sz w:val="20"/>
          <w:szCs w:val="20"/>
        </w:rPr>
      </w:pPr>
    </w:p>
    <w:p w:rsidR="00071E76" w:rsidRDefault="00071E76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1. According to </w:t>
      </w:r>
      <w:proofErr w:type="spellStart"/>
      <w:r>
        <w:rPr>
          <w:rFonts w:asciiTheme="majorHAnsi" w:hAnsiTheme="majorHAnsi" w:cs="AdvPSPH-R"/>
          <w:sz w:val="20"/>
          <w:szCs w:val="20"/>
        </w:rPr>
        <w:t>Sorenmo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et al 2010, dogs undergoing chemotherapy were at increased risk for developing sepsis if they had received what two chemotherapy agents?</w:t>
      </w:r>
    </w:p>
    <w:p w:rsidR="00271103" w:rsidRDefault="00071E76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a. </w:t>
      </w:r>
      <w:r w:rsidR="00271103">
        <w:rPr>
          <w:rFonts w:asciiTheme="majorHAnsi" w:hAnsiTheme="majorHAnsi" w:cs="AdvPSPH-R"/>
          <w:sz w:val="20"/>
          <w:szCs w:val="20"/>
        </w:rPr>
        <w:t>L-</w:t>
      </w:r>
      <w:proofErr w:type="spellStart"/>
      <w:r w:rsidR="00271103">
        <w:rPr>
          <w:rFonts w:asciiTheme="majorHAnsi" w:hAnsiTheme="majorHAnsi" w:cs="AdvPSPH-R"/>
          <w:sz w:val="20"/>
          <w:szCs w:val="20"/>
        </w:rPr>
        <w:t>asparaginase</w:t>
      </w:r>
      <w:proofErr w:type="spellEnd"/>
      <w:r w:rsidR="00271103">
        <w:rPr>
          <w:rFonts w:asciiTheme="majorHAnsi" w:hAnsiTheme="majorHAnsi" w:cs="AdvPSPH-R"/>
          <w:sz w:val="20"/>
          <w:szCs w:val="20"/>
        </w:rPr>
        <w:t xml:space="preserve"> and prednisone</w:t>
      </w:r>
    </w:p>
    <w:p w:rsidR="00271103" w:rsidRDefault="0027110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b. Doxorubicin and </w:t>
      </w:r>
      <w:proofErr w:type="spellStart"/>
      <w:r>
        <w:rPr>
          <w:rFonts w:asciiTheme="majorHAnsi" w:hAnsiTheme="majorHAnsi" w:cs="AdvPSPH-R"/>
          <w:sz w:val="20"/>
          <w:szCs w:val="20"/>
        </w:rPr>
        <w:t>cyclophosphamide</w:t>
      </w:r>
      <w:proofErr w:type="spellEnd"/>
    </w:p>
    <w:p w:rsidR="00271103" w:rsidRDefault="0027110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c. </w:t>
      </w:r>
      <w:proofErr w:type="spellStart"/>
      <w:r w:rsidRPr="00134962">
        <w:rPr>
          <w:rFonts w:asciiTheme="majorHAnsi" w:hAnsiTheme="majorHAnsi" w:cs="AdvPSPH-R"/>
          <w:sz w:val="20"/>
          <w:szCs w:val="20"/>
          <w:highlight w:val="yellow"/>
        </w:rPr>
        <w:t>Doxorubricin</w:t>
      </w:r>
      <w:proofErr w:type="spellEnd"/>
      <w:r w:rsidRPr="00134962">
        <w:rPr>
          <w:rFonts w:asciiTheme="majorHAnsi" w:hAnsiTheme="majorHAnsi" w:cs="AdvPSPH-R"/>
          <w:sz w:val="20"/>
          <w:szCs w:val="20"/>
          <w:highlight w:val="yellow"/>
        </w:rPr>
        <w:t xml:space="preserve"> and </w:t>
      </w:r>
      <w:proofErr w:type="spellStart"/>
      <w:r w:rsidRPr="00134962">
        <w:rPr>
          <w:rFonts w:asciiTheme="majorHAnsi" w:hAnsiTheme="majorHAnsi" w:cs="AdvPSPH-R"/>
          <w:sz w:val="20"/>
          <w:szCs w:val="20"/>
          <w:highlight w:val="yellow"/>
        </w:rPr>
        <w:t>vincristine</w:t>
      </w:r>
      <w:proofErr w:type="spellEnd"/>
    </w:p>
    <w:p w:rsidR="00E255AF" w:rsidRDefault="00271103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d. </w:t>
      </w:r>
      <w:proofErr w:type="spellStart"/>
      <w:r>
        <w:rPr>
          <w:rFonts w:asciiTheme="majorHAnsi" w:hAnsiTheme="majorHAnsi" w:cs="AdvPSPH-R"/>
          <w:sz w:val="20"/>
          <w:szCs w:val="20"/>
        </w:rPr>
        <w:t>Vincristine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and prednisone</w:t>
      </w:r>
      <w:r w:rsidR="004B505B">
        <w:rPr>
          <w:rFonts w:asciiTheme="majorHAnsi" w:hAnsiTheme="majorHAnsi" w:cs="AdvPSPH-R"/>
          <w:sz w:val="20"/>
          <w:szCs w:val="20"/>
        </w:rPr>
        <w:t xml:space="preserve"> </w:t>
      </w: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2.  Which of the following was found to be an independent risk factor for development of chemotherapy-induced sepsis?</w:t>
      </w: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r w:rsidRPr="00B723B8">
        <w:rPr>
          <w:rFonts w:asciiTheme="majorHAnsi" w:hAnsiTheme="majorHAnsi" w:cs="AdvPSPH-R"/>
          <w:sz w:val="20"/>
          <w:szCs w:val="20"/>
          <w:highlight w:val="yellow"/>
        </w:rPr>
        <w:t>a. Body weight</w:t>
      </w: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b. Breed</w:t>
      </w: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c. Tumor type</w:t>
      </w:r>
    </w:p>
    <w:p w:rsidR="005C774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d. </w:t>
      </w:r>
      <w:r w:rsidR="00B723B8">
        <w:rPr>
          <w:rFonts w:asciiTheme="majorHAnsi" w:hAnsiTheme="majorHAnsi" w:cs="AdvPSPH-R"/>
          <w:sz w:val="20"/>
          <w:szCs w:val="20"/>
        </w:rPr>
        <w:t>Stage of disease</w:t>
      </w:r>
    </w:p>
    <w:p w:rsidR="005C774F" w:rsidRDefault="005C774F" w:rsidP="00EF1AB3">
      <w:pPr>
        <w:spacing w:after="0"/>
        <w:rPr>
          <w:rFonts w:asciiTheme="majorHAnsi" w:hAnsiTheme="majorHAnsi" w:cs="AdvPSPH-R"/>
          <w:sz w:val="20"/>
          <w:szCs w:val="20"/>
        </w:rPr>
      </w:pPr>
    </w:p>
    <w:p w:rsidR="0052640A" w:rsidRDefault="005C774F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lastRenderedPageBreak/>
        <w:t xml:space="preserve">3. According to the study by </w:t>
      </w:r>
      <w:proofErr w:type="spellStart"/>
      <w:r>
        <w:rPr>
          <w:rFonts w:asciiTheme="majorHAnsi" w:hAnsiTheme="majorHAnsi" w:cs="AdvPSPH-R"/>
          <w:sz w:val="20"/>
          <w:szCs w:val="20"/>
        </w:rPr>
        <w:t>Chretin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et al. 2007, </w:t>
      </w:r>
      <w:r w:rsidR="0052640A">
        <w:rPr>
          <w:rFonts w:asciiTheme="majorHAnsi" w:hAnsiTheme="majorHAnsi" w:cs="AdvPSPH-R"/>
          <w:sz w:val="20"/>
          <w:szCs w:val="20"/>
        </w:rPr>
        <w:t xml:space="preserve">prophylactic TMS administered to dogs with lymphoma or </w:t>
      </w:r>
      <w:proofErr w:type="spellStart"/>
      <w:r w:rsidR="0052640A">
        <w:rPr>
          <w:rFonts w:asciiTheme="majorHAnsi" w:hAnsiTheme="majorHAnsi" w:cs="AdvPSPH-R"/>
          <w:sz w:val="20"/>
          <w:szCs w:val="20"/>
        </w:rPr>
        <w:t>osteosarcoma</w:t>
      </w:r>
      <w:proofErr w:type="spellEnd"/>
      <w:r w:rsidR="0052640A">
        <w:rPr>
          <w:rFonts w:asciiTheme="majorHAnsi" w:hAnsiTheme="majorHAnsi" w:cs="AdvPSPH-R"/>
          <w:sz w:val="20"/>
          <w:szCs w:val="20"/>
        </w:rPr>
        <w:t xml:space="preserve"> during the first 14 days of chemotherapy significantly reduced the occurrence and severity of </w:t>
      </w:r>
      <w:r w:rsidR="00301072">
        <w:rPr>
          <w:rFonts w:asciiTheme="majorHAnsi" w:hAnsiTheme="majorHAnsi" w:cs="AdvPSPH-R"/>
          <w:sz w:val="20"/>
          <w:szCs w:val="20"/>
        </w:rPr>
        <w:t>all of the following except:</w:t>
      </w:r>
    </w:p>
    <w:p w:rsidR="0052640A" w:rsidRDefault="0052640A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a</w:t>
      </w:r>
      <w:proofErr w:type="gramEnd"/>
      <w:r>
        <w:rPr>
          <w:rFonts w:asciiTheme="majorHAnsi" w:hAnsiTheme="majorHAnsi" w:cs="AdvPSPH-R"/>
          <w:sz w:val="20"/>
          <w:szCs w:val="20"/>
        </w:rPr>
        <w:t xml:space="preserve">. </w:t>
      </w:r>
      <w:r w:rsidR="00070490">
        <w:rPr>
          <w:rFonts w:asciiTheme="majorHAnsi" w:hAnsiTheme="majorHAnsi" w:cs="AdvPSPH-R"/>
          <w:sz w:val="20"/>
          <w:szCs w:val="20"/>
        </w:rPr>
        <w:t>gastrointestinal toxicity</w:t>
      </w:r>
    </w:p>
    <w:p w:rsidR="0052640A" w:rsidRDefault="0052640A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301072">
        <w:rPr>
          <w:rFonts w:asciiTheme="majorHAnsi" w:hAnsiTheme="majorHAnsi" w:cs="AdvPSPH-R"/>
          <w:sz w:val="20"/>
          <w:szCs w:val="20"/>
          <w:highlight w:val="yellow"/>
        </w:rPr>
        <w:t>b</w:t>
      </w:r>
      <w:proofErr w:type="gramEnd"/>
      <w:r w:rsidRPr="00301072">
        <w:rPr>
          <w:rFonts w:asciiTheme="majorHAnsi" w:hAnsiTheme="majorHAnsi" w:cs="AdvPSPH-R"/>
          <w:sz w:val="20"/>
          <w:szCs w:val="20"/>
          <w:highlight w:val="yellow"/>
        </w:rPr>
        <w:t xml:space="preserve">. </w:t>
      </w:r>
      <w:r w:rsidR="00070490" w:rsidRPr="00301072">
        <w:rPr>
          <w:rFonts w:asciiTheme="majorHAnsi" w:hAnsiTheme="majorHAnsi" w:cs="AdvPSPH-R"/>
          <w:sz w:val="20"/>
          <w:szCs w:val="20"/>
          <w:highlight w:val="yellow"/>
        </w:rPr>
        <w:t>sepsis</w:t>
      </w:r>
    </w:p>
    <w:p w:rsidR="00301072" w:rsidRDefault="0052640A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c</w:t>
      </w:r>
      <w:proofErr w:type="gramEnd"/>
      <w:r>
        <w:rPr>
          <w:rFonts w:asciiTheme="majorHAnsi" w:hAnsiTheme="majorHAnsi" w:cs="AdvPSPH-R"/>
          <w:sz w:val="20"/>
          <w:szCs w:val="20"/>
        </w:rPr>
        <w:t>.</w:t>
      </w:r>
      <w:r w:rsidR="00301072">
        <w:rPr>
          <w:rFonts w:asciiTheme="majorHAnsi" w:hAnsiTheme="majorHAnsi" w:cs="AdvPSPH-R"/>
          <w:sz w:val="20"/>
          <w:szCs w:val="20"/>
        </w:rPr>
        <w:t xml:space="preserve"> performance grade</w:t>
      </w:r>
    </w:p>
    <w:p w:rsidR="0052640A" w:rsidRDefault="0052640A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301072">
        <w:rPr>
          <w:rFonts w:asciiTheme="majorHAnsi" w:hAnsiTheme="majorHAnsi" w:cs="AdvPSPH-R"/>
          <w:sz w:val="20"/>
          <w:szCs w:val="20"/>
        </w:rPr>
        <w:t>d</w:t>
      </w:r>
      <w:proofErr w:type="gramEnd"/>
      <w:r w:rsidRPr="00301072">
        <w:rPr>
          <w:rFonts w:asciiTheme="majorHAnsi" w:hAnsiTheme="majorHAnsi" w:cs="AdvPSPH-R"/>
          <w:sz w:val="20"/>
          <w:szCs w:val="20"/>
        </w:rPr>
        <w:t xml:space="preserve">. </w:t>
      </w:r>
      <w:r w:rsidR="00070490" w:rsidRPr="00301072">
        <w:rPr>
          <w:rFonts w:asciiTheme="majorHAnsi" w:hAnsiTheme="majorHAnsi" w:cs="AdvPSPH-R"/>
          <w:sz w:val="20"/>
          <w:szCs w:val="20"/>
        </w:rPr>
        <w:t>hospitalization rate</w:t>
      </w:r>
    </w:p>
    <w:p w:rsidR="000A1EC1" w:rsidRDefault="000A1EC1" w:rsidP="00EF1AB3">
      <w:pPr>
        <w:spacing w:after="0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br w:type="page"/>
      </w:r>
    </w:p>
    <w:p w:rsidR="00E255AF" w:rsidRDefault="00E255AF" w:rsidP="00EF1AB3">
      <w:pPr>
        <w:spacing w:after="0"/>
        <w:rPr>
          <w:rFonts w:asciiTheme="majorHAnsi" w:hAnsiTheme="majorHAnsi" w:cs="AdvPSPH-R"/>
          <w:sz w:val="20"/>
          <w:szCs w:val="20"/>
        </w:rPr>
      </w:pP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r w:rsidRPr="000A1EC1">
        <w:rPr>
          <w:rFonts w:asciiTheme="majorHAnsi" w:hAnsiTheme="majorHAnsi" w:cs="Univers-Black"/>
          <w:b/>
          <w:sz w:val="32"/>
          <w:szCs w:val="32"/>
        </w:rPr>
        <w:t>Evaluation of outcomes in dogs treated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Univers-Black"/>
          <w:b/>
          <w:sz w:val="32"/>
          <w:szCs w:val="32"/>
        </w:rPr>
      </w:pPr>
      <w:proofErr w:type="gramStart"/>
      <w:r w:rsidRPr="000A1EC1">
        <w:rPr>
          <w:rFonts w:asciiTheme="majorHAnsi" w:hAnsiTheme="majorHAnsi" w:cs="Univers-Black"/>
          <w:b/>
          <w:sz w:val="32"/>
          <w:szCs w:val="32"/>
        </w:rPr>
        <w:t>for</w:t>
      </w:r>
      <w:proofErr w:type="gramEnd"/>
      <w:r w:rsidRPr="000A1EC1">
        <w:rPr>
          <w:rFonts w:asciiTheme="majorHAnsi" w:hAnsiTheme="majorHAnsi" w:cs="Univers-Black"/>
          <w:b/>
          <w:sz w:val="32"/>
          <w:szCs w:val="32"/>
        </w:rPr>
        <w:t xml:space="preserve"> </w:t>
      </w:r>
      <w:proofErr w:type="spellStart"/>
      <w:r w:rsidRPr="000A1EC1">
        <w:rPr>
          <w:rFonts w:asciiTheme="majorHAnsi" w:hAnsiTheme="majorHAnsi" w:cs="Univers-Black"/>
          <w:b/>
          <w:sz w:val="32"/>
          <w:szCs w:val="32"/>
        </w:rPr>
        <w:t>pyothorax</w:t>
      </w:r>
      <w:proofErr w:type="spellEnd"/>
      <w:r w:rsidRPr="000A1EC1">
        <w:rPr>
          <w:rFonts w:asciiTheme="majorHAnsi" w:hAnsiTheme="majorHAnsi" w:cs="Univers-Black"/>
          <w:b/>
          <w:sz w:val="32"/>
          <w:szCs w:val="32"/>
        </w:rPr>
        <w:t>: 46 cases (1983–2001)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0A1EC1">
        <w:rPr>
          <w:rFonts w:asciiTheme="majorHAnsi" w:hAnsiTheme="majorHAnsi" w:cs="Berkeley-Medium"/>
          <w:sz w:val="20"/>
          <w:szCs w:val="20"/>
        </w:rPr>
        <w:t xml:space="preserve">Harry W.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Boothe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ms,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dacvs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; Lisa M. Howe,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proofErr w:type="gramStart"/>
      <w:r w:rsidRPr="000A1EC1">
        <w:rPr>
          <w:rFonts w:asciiTheme="majorHAnsi" w:hAnsiTheme="majorHAnsi" w:cs="Berkeley-Medium"/>
          <w:sz w:val="20"/>
          <w:szCs w:val="20"/>
        </w:rPr>
        <w:t>phd</w:t>
      </w:r>
      <w:proofErr w:type="spellEnd"/>
      <w:proofErr w:type="gram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dacvs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>;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Berkeley-Medium"/>
          <w:sz w:val="20"/>
          <w:szCs w:val="20"/>
        </w:rPr>
      </w:pPr>
      <w:r w:rsidRPr="000A1EC1">
        <w:rPr>
          <w:rFonts w:asciiTheme="majorHAnsi" w:hAnsiTheme="majorHAnsi" w:cs="Berkeley-Medium"/>
          <w:sz w:val="20"/>
          <w:szCs w:val="20"/>
        </w:rPr>
        <w:t xml:space="preserve">Dawn M.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Boothe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proofErr w:type="gramStart"/>
      <w:r w:rsidRPr="000A1EC1">
        <w:rPr>
          <w:rFonts w:asciiTheme="majorHAnsi" w:hAnsiTheme="majorHAnsi" w:cs="Berkeley-Medium"/>
          <w:sz w:val="20"/>
          <w:szCs w:val="20"/>
        </w:rPr>
        <w:t>phd</w:t>
      </w:r>
      <w:proofErr w:type="spellEnd"/>
      <w:proofErr w:type="gram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dacvim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dacvcp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; Loren A. Reynolds,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dvm</w:t>
      </w:r>
      <w:proofErr w:type="spellEnd"/>
      <w:r w:rsidRPr="000A1EC1">
        <w:rPr>
          <w:rFonts w:asciiTheme="majorHAnsi" w:hAnsiTheme="majorHAnsi" w:cs="Berkeley-Medium"/>
          <w:sz w:val="20"/>
          <w:szCs w:val="20"/>
        </w:rPr>
        <w:t xml:space="preserve">; Mark Carpenter, </w:t>
      </w:r>
      <w:proofErr w:type="spellStart"/>
      <w:r w:rsidRPr="000A1EC1">
        <w:rPr>
          <w:rFonts w:asciiTheme="majorHAnsi" w:hAnsiTheme="majorHAnsi" w:cs="Berkeley-Medium"/>
          <w:sz w:val="20"/>
          <w:szCs w:val="20"/>
        </w:rPr>
        <w:t>phd</w:t>
      </w:r>
      <w:proofErr w:type="spellEnd"/>
    </w:p>
    <w:p w:rsid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old"/>
          <w:b/>
          <w:bCs/>
          <w:sz w:val="20"/>
          <w:szCs w:val="20"/>
        </w:rPr>
      </w:pP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Objective</w:t>
      </w:r>
      <w:r w:rsidRPr="000A1EC1">
        <w:rPr>
          <w:rFonts w:asciiTheme="majorHAnsi" w:hAnsiTheme="majorHAnsi" w:cs="Univers-Light"/>
          <w:sz w:val="20"/>
          <w:szCs w:val="20"/>
        </w:rPr>
        <w:t>—</w:t>
      </w:r>
      <w:proofErr w:type="gramStart"/>
      <w:r w:rsidRPr="000A1EC1">
        <w:rPr>
          <w:rFonts w:asciiTheme="majorHAnsi" w:hAnsiTheme="majorHAnsi" w:cs="Univers-Light"/>
          <w:sz w:val="20"/>
          <w:szCs w:val="20"/>
        </w:rPr>
        <w:t>To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determine the effect of treatment approach on outcome and the appropriateness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of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initial empirical antimicrobial treatment in dogs with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>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Bold"/>
          <w:b/>
          <w:bCs/>
          <w:sz w:val="20"/>
          <w:szCs w:val="20"/>
        </w:rPr>
        <w:t>Design</w:t>
      </w:r>
      <w:r w:rsidRPr="000A1EC1">
        <w:rPr>
          <w:rFonts w:asciiTheme="majorHAnsi" w:hAnsiTheme="majorHAnsi" w:cs="Univers-Light"/>
          <w:sz w:val="20"/>
          <w:szCs w:val="20"/>
        </w:rPr>
        <w:t>—Retrospective case series.</w:t>
      </w:r>
      <w:proofErr w:type="gramEnd"/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Animals</w:t>
      </w:r>
      <w:r w:rsidRPr="000A1EC1">
        <w:rPr>
          <w:rFonts w:asciiTheme="majorHAnsi" w:hAnsiTheme="majorHAnsi" w:cs="Univers-Light"/>
          <w:sz w:val="20"/>
          <w:szCs w:val="20"/>
        </w:rPr>
        <w:t xml:space="preserve">—46 dogs with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confirmed by either (n = 15) or both (31) of the following: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intracellular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bacteria in pleural fluid or tissue (41) and bacteria recovered via culture of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pleural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fluid (36).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Procedures</w:t>
      </w:r>
      <w:r w:rsidRPr="000A1EC1">
        <w:rPr>
          <w:rFonts w:asciiTheme="majorHAnsi" w:hAnsiTheme="majorHAnsi" w:cs="Univers-Light"/>
          <w:sz w:val="20"/>
          <w:szCs w:val="20"/>
        </w:rPr>
        <w:t xml:space="preserve">—Medical records of dogs treated for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from 1983 through 2001 were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reviewed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. Data on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signalment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>, history, clinical signs, and treatment and results of diagnostic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imaging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and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cytologic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and microbiological evaluations were obtained. Follow-up was performed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via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reexamination (n = 15) and contact with referring veterinarians (26) and owners (24).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Results</w:t>
      </w:r>
      <w:r w:rsidRPr="000A1EC1">
        <w:rPr>
          <w:rFonts w:asciiTheme="majorHAnsi" w:hAnsiTheme="majorHAnsi" w:cs="Univers-Light"/>
          <w:sz w:val="20"/>
          <w:szCs w:val="20"/>
        </w:rPr>
        <w:t xml:space="preserve">—46 dogs were treated with at least 1 antimicrobial and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thoracocentesis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(n = 7; noninvasive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group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), a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thoracostomy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tube (26; invasive group) with or without pleural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lavage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and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heparin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, or a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thoracotomy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(13; surgical group) and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thoracostomy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tube with or without pleural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spellStart"/>
      <w:proofErr w:type="gramStart"/>
      <w:r w:rsidRPr="000A1EC1">
        <w:rPr>
          <w:rFonts w:asciiTheme="majorHAnsi" w:hAnsiTheme="majorHAnsi" w:cs="Univers-Light"/>
          <w:sz w:val="20"/>
          <w:szCs w:val="20"/>
        </w:rPr>
        <w:t>lavage</w:t>
      </w:r>
      <w:proofErr w:type="spellEnd"/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and heparin.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recurred in 7 dogs, and 5 of the 7 died or were euthanatized.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Light"/>
          <w:sz w:val="20"/>
          <w:szCs w:val="20"/>
        </w:rPr>
        <w:t xml:space="preserve">In the respective groups, the short-term survival rate was 29%, 77%, and 92% and the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longterm</w:t>
      </w:r>
      <w:proofErr w:type="spellEnd"/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survival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rate was 29%, 71%, and 70%. Pleural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lavage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and heparin treatment increased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the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likelihood of short- and long-term survival. Results of antimicrobial susceptibility testing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suggested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empirical antimicrobial selection was associated with a 35% risk of inefficacy.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r w:rsidRPr="000A1EC1">
        <w:rPr>
          <w:rFonts w:asciiTheme="majorHAnsi" w:hAnsiTheme="majorHAnsi" w:cs="Univers-Bold"/>
          <w:b/>
          <w:bCs/>
          <w:sz w:val="20"/>
          <w:szCs w:val="20"/>
        </w:rPr>
        <w:t>Conclusions and Clinical Relevance</w:t>
      </w:r>
      <w:r w:rsidRPr="000A1EC1">
        <w:rPr>
          <w:rFonts w:asciiTheme="majorHAnsi" w:hAnsiTheme="majorHAnsi" w:cs="Univers-Light"/>
          <w:sz w:val="20"/>
          <w:szCs w:val="20"/>
        </w:rPr>
        <w:t>—</w:t>
      </w:r>
      <w:proofErr w:type="gramStart"/>
      <w:r w:rsidRPr="000A1EC1">
        <w:rPr>
          <w:rFonts w:asciiTheme="majorHAnsi" w:hAnsiTheme="majorHAnsi" w:cs="Univers-Light"/>
          <w:sz w:val="20"/>
          <w:szCs w:val="20"/>
        </w:rPr>
        <w:t>In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the dogs with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in this study, favorable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treatment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effects were achieved with surgery (for short-term survival) and pleural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lavage</w:t>
      </w:r>
      <w:proofErr w:type="spellEnd"/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and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heparin treatment (for short- and long-term survival). Findings failed to support the hypothesis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Light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that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invasive (surgical) versus noninvasive treatment of </w:t>
      </w:r>
      <w:proofErr w:type="spellStart"/>
      <w:r w:rsidRPr="000A1EC1">
        <w:rPr>
          <w:rFonts w:asciiTheme="majorHAnsi" w:hAnsiTheme="majorHAnsi" w:cs="Univers-Light"/>
          <w:sz w:val="20"/>
          <w:szCs w:val="20"/>
        </w:rPr>
        <w:t>pyothorax</w:t>
      </w:r>
      <w:proofErr w:type="spellEnd"/>
      <w:r w:rsidRPr="000A1EC1">
        <w:rPr>
          <w:rFonts w:asciiTheme="majorHAnsi" w:hAnsiTheme="majorHAnsi" w:cs="Univers-Light"/>
          <w:sz w:val="20"/>
          <w:szCs w:val="20"/>
        </w:rPr>
        <w:t xml:space="preserve"> in dogs leads to</w:t>
      </w:r>
    </w:p>
    <w:p w:rsidR="000A1EC1" w:rsidRPr="000A1EC1" w:rsidRDefault="000A1EC1" w:rsidP="000A1E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Univers-Black"/>
          <w:sz w:val="20"/>
          <w:szCs w:val="20"/>
        </w:rPr>
      </w:pPr>
      <w:proofErr w:type="gramStart"/>
      <w:r w:rsidRPr="000A1EC1">
        <w:rPr>
          <w:rFonts w:asciiTheme="majorHAnsi" w:hAnsiTheme="majorHAnsi" w:cs="Univers-Light"/>
          <w:sz w:val="20"/>
          <w:szCs w:val="20"/>
        </w:rPr>
        <w:t>a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 xml:space="preserve"> better long-term outcome. (</w:t>
      </w:r>
      <w:r w:rsidRPr="000A1EC1">
        <w:rPr>
          <w:rFonts w:asciiTheme="majorHAnsi" w:hAnsiTheme="majorHAnsi" w:cs="Univers-LightOblique"/>
          <w:i/>
          <w:iCs/>
          <w:sz w:val="20"/>
          <w:szCs w:val="20"/>
        </w:rPr>
        <w:t xml:space="preserve">J Am Vet Med Assoc </w:t>
      </w:r>
      <w:r w:rsidRPr="000A1EC1">
        <w:rPr>
          <w:rFonts w:asciiTheme="majorHAnsi" w:hAnsiTheme="majorHAnsi" w:cs="Univers-Light"/>
          <w:sz w:val="20"/>
          <w:szCs w:val="20"/>
        </w:rPr>
        <w:t>2010</w:t>
      </w:r>
      <w:proofErr w:type="gramStart"/>
      <w:r w:rsidRPr="000A1EC1">
        <w:rPr>
          <w:rFonts w:asciiTheme="majorHAnsi" w:hAnsiTheme="majorHAnsi" w:cs="Univers-Light"/>
          <w:sz w:val="20"/>
          <w:szCs w:val="20"/>
        </w:rPr>
        <w:t>;236:657</w:t>
      </w:r>
      <w:proofErr w:type="gramEnd"/>
      <w:r w:rsidRPr="000A1EC1">
        <w:rPr>
          <w:rFonts w:asciiTheme="majorHAnsi" w:hAnsiTheme="majorHAnsi" w:cs="Univers-Light"/>
          <w:sz w:val="20"/>
          <w:szCs w:val="20"/>
        </w:rPr>
        <w:t>–663)</w:t>
      </w:r>
    </w:p>
    <w:p w:rsidR="00CE1A7D" w:rsidRDefault="00CE1A7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EF1AB3" w:rsidRDefault="00EF1AB3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CE1A7D">
        <w:rPr>
          <w:rFonts w:asciiTheme="majorHAnsi" w:hAnsiTheme="majorHAnsi" w:cs="AdvPSPH-R"/>
          <w:sz w:val="20"/>
          <w:szCs w:val="20"/>
        </w:rPr>
        <w:t xml:space="preserve"> In dogs with </w:t>
      </w:r>
      <w:proofErr w:type="spellStart"/>
      <w:r w:rsidR="00CE1A7D">
        <w:rPr>
          <w:rFonts w:asciiTheme="majorHAnsi" w:hAnsiTheme="majorHAnsi" w:cs="AdvPSPH-R"/>
          <w:sz w:val="20"/>
          <w:szCs w:val="20"/>
        </w:rPr>
        <w:t>pyothorax</w:t>
      </w:r>
      <w:proofErr w:type="spellEnd"/>
      <w:r w:rsidR="00CE1A7D">
        <w:rPr>
          <w:rFonts w:asciiTheme="majorHAnsi" w:hAnsiTheme="majorHAnsi" w:cs="AdvPSPH-R"/>
          <w:sz w:val="20"/>
          <w:szCs w:val="20"/>
        </w:rPr>
        <w:t xml:space="preserve">, pleural </w:t>
      </w:r>
      <w:proofErr w:type="spellStart"/>
      <w:r w:rsidR="00CE1A7D">
        <w:rPr>
          <w:rFonts w:asciiTheme="majorHAnsi" w:hAnsiTheme="majorHAnsi" w:cs="AdvPSPH-R"/>
          <w:sz w:val="20"/>
          <w:szCs w:val="20"/>
        </w:rPr>
        <w:t>lavage</w:t>
      </w:r>
      <w:proofErr w:type="spellEnd"/>
      <w:r w:rsidR="00CE1A7D">
        <w:rPr>
          <w:rFonts w:asciiTheme="majorHAnsi" w:hAnsiTheme="majorHAnsi" w:cs="AdvPSPH-R"/>
          <w:sz w:val="20"/>
          <w:szCs w:val="20"/>
        </w:rPr>
        <w:t xml:space="preserve"> and heparin treatment increased the likelihood of short and long-term survival</w:t>
      </w:r>
    </w:p>
    <w:p w:rsidR="00EF1AB3" w:rsidRDefault="00EF1AB3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CE1A7D">
        <w:rPr>
          <w:rFonts w:asciiTheme="majorHAnsi" w:hAnsiTheme="majorHAnsi" w:cs="AdvPSPH-R"/>
          <w:sz w:val="20"/>
          <w:szCs w:val="20"/>
        </w:rPr>
        <w:t xml:space="preserve"> Failed to show invasive (surgery) versus noninvasive treatment of </w:t>
      </w:r>
      <w:proofErr w:type="spellStart"/>
      <w:r w:rsidR="00CE1A7D">
        <w:rPr>
          <w:rFonts w:asciiTheme="majorHAnsi" w:hAnsiTheme="majorHAnsi" w:cs="AdvPSPH-R"/>
          <w:sz w:val="20"/>
          <w:szCs w:val="20"/>
        </w:rPr>
        <w:t>pyothorax</w:t>
      </w:r>
      <w:proofErr w:type="spellEnd"/>
      <w:r w:rsidR="00CE1A7D">
        <w:rPr>
          <w:rFonts w:asciiTheme="majorHAnsi" w:hAnsiTheme="majorHAnsi" w:cs="AdvPSPH-R"/>
          <w:sz w:val="20"/>
          <w:szCs w:val="20"/>
        </w:rPr>
        <w:t xml:space="preserve"> leads to a better long-term outcome</w:t>
      </w:r>
    </w:p>
    <w:p w:rsidR="004420C6" w:rsidRDefault="00EF1AB3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</w:t>
      </w:r>
      <w:r w:rsidR="00CE1A7D">
        <w:rPr>
          <w:rFonts w:asciiTheme="majorHAnsi" w:hAnsiTheme="majorHAnsi" w:cs="AdvPSPH-R"/>
          <w:sz w:val="20"/>
          <w:szCs w:val="20"/>
        </w:rPr>
        <w:t xml:space="preserve"> </w:t>
      </w:r>
      <w:proofErr w:type="spellStart"/>
      <w:r w:rsidR="00CE1A7D">
        <w:rPr>
          <w:rFonts w:asciiTheme="majorHAnsi" w:hAnsiTheme="majorHAnsi" w:cs="AdvPSPH-R"/>
          <w:sz w:val="20"/>
          <w:szCs w:val="20"/>
        </w:rPr>
        <w:t>Recurrance</w:t>
      </w:r>
      <w:proofErr w:type="spellEnd"/>
      <w:r w:rsidR="00CE1A7D">
        <w:rPr>
          <w:rFonts w:asciiTheme="majorHAnsi" w:hAnsiTheme="majorHAnsi" w:cs="AdvPSPH-R"/>
          <w:sz w:val="20"/>
          <w:szCs w:val="20"/>
        </w:rPr>
        <w:t xml:space="preserve"> rate was 20% and was associated with a high mortality rate (5/7 were euthanized)</w:t>
      </w:r>
    </w:p>
    <w:p w:rsidR="00CE1A7D" w:rsidRDefault="00CE1A7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>• Based on antimicrobial susceptibility testing, empirical antimicrobial selection was associated with a 35% risk of inefficacy</w:t>
      </w:r>
    </w:p>
    <w:p w:rsidR="00CE1A7D" w:rsidRDefault="00CE1A7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410D6D" w:rsidRDefault="00CE1A7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1.  </w:t>
      </w:r>
      <w:proofErr w:type="gramStart"/>
      <w:r>
        <w:rPr>
          <w:rFonts w:asciiTheme="majorHAnsi" w:hAnsiTheme="majorHAnsi" w:cs="AdvPSPH-R"/>
          <w:sz w:val="20"/>
          <w:szCs w:val="20"/>
        </w:rPr>
        <w:t>The</w:t>
      </w:r>
      <w:proofErr w:type="gramEnd"/>
      <w:r>
        <w:rPr>
          <w:rFonts w:asciiTheme="majorHAnsi" w:hAnsiTheme="majorHAnsi" w:cs="AdvPSPH-R"/>
          <w:sz w:val="20"/>
          <w:szCs w:val="20"/>
        </w:rPr>
        <w:t xml:space="preserve"> most common bacterial organism isolated</w:t>
      </w:r>
      <w:r w:rsidR="00410D6D">
        <w:rPr>
          <w:rFonts w:asciiTheme="majorHAnsi" w:hAnsiTheme="majorHAnsi" w:cs="AdvPSPH-R"/>
          <w:sz w:val="20"/>
          <w:szCs w:val="20"/>
        </w:rPr>
        <w:t xml:space="preserve"> in dogs with </w:t>
      </w:r>
      <w:proofErr w:type="spellStart"/>
      <w:r w:rsidR="00410D6D">
        <w:rPr>
          <w:rFonts w:asciiTheme="majorHAnsi" w:hAnsiTheme="majorHAnsi" w:cs="AdvPSPH-R"/>
          <w:sz w:val="20"/>
          <w:szCs w:val="20"/>
        </w:rPr>
        <w:t>pyothorax</w:t>
      </w:r>
      <w:proofErr w:type="spellEnd"/>
      <w:r w:rsidR="00410D6D">
        <w:rPr>
          <w:rFonts w:asciiTheme="majorHAnsi" w:hAnsiTheme="majorHAnsi" w:cs="AdvPSPH-R"/>
          <w:sz w:val="20"/>
          <w:szCs w:val="20"/>
        </w:rPr>
        <w:t xml:space="preserve"> is:</w:t>
      </w:r>
    </w:p>
    <w:p w:rsidR="00410D6D" w:rsidRPr="00410D6D" w:rsidRDefault="00410D6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i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a. </w:t>
      </w:r>
      <w:proofErr w:type="spellStart"/>
      <w:r>
        <w:rPr>
          <w:rFonts w:asciiTheme="majorHAnsi" w:hAnsiTheme="majorHAnsi" w:cs="AdvPSPH-R"/>
          <w:i/>
          <w:sz w:val="20"/>
          <w:szCs w:val="20"/>
        </w:rPr>
        <w:t>Pasteurella</w:t>
      </w:r>
      <w:proofErr w:type="spellEnd"/>
    </w:p>
    <w:p w:rsidR="00410D6D" w:rsidRPr="00410D6D" w:rsidRDefault="00410D6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i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b</w:t>
      </w:r>
      <w:r w:rsidRPr="00410D6D">
        <w:rPr>
          <w:rFonts w:asciiTheme="majorHAnsi" w:hAnsiTheme="majorHAnsi" w:cs="AdvPSPH-R"/>
          <w:sz w:val="20"/>
          <w:szCs w:val="20"/>
          <w:highlight w:val="yellow"/>
        </w:rPr>
        <w:t xml:space="preserve">. </w:t>
      </w:r>
      <w:r w:rsidRPr="00410D6D">
        <w:rPr>
          <w:rFonts w:asciiTheme="majorHAnsi" w:hAnsiTheme="majorHAnsi" w:cs="AdvPSPH-R"/>
          <w:i/>
          <w:sz w:val="20"/>
          <w:szCs w:val="20"/>
          <w:highlight w:val="yellow"/>
        </w:rPr>
        <w:t>E. coli</w:t>
      </w:r>
    </w:p>
    <w:p w:rsidR="00410D6D" w:rsidRPr="00410D6D" w:rsidRDefault="00410D6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i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c. </w:t>
      </w:r>
      <w:proofErr w:type="spellStart"/>
      <w:r>
        <w:rPr>
          <w:rFonts w:asciiTheme="majorHAnsi" w:hAnsiTheme="majorHAnsi" w:cs="AdvPSPH-R"/>
          <w:i/>
          <w:sz w:val="20"/>
          <w:szCs w:val="20"/>
        </w:rPr>
        <w:t>Nocardia</w:t>
      </w:r>
      <w:proofErr w:type="spellEnd"/>
    </w:p>
    <w:p w:rsidR="00410D6D" w:rsidRPr="00410D6D" w:rsidRDefault="00410D6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 xml:space="preserve">d. </w:t>
      </w:r>
      <w:r>
        <w:rPr>
          <w:rFonts w:asciiTheme="majorHAnsi" w:hAnsiTheme="majorHAnsi" w:cs="AdvPSPH-R"/>
          <w:i/>
          <w:sz w:val="20"/>
          <w:szCs w:val="20"/>
        </w:rPr>
        <w:t>Staph</w:t>
      </w:r>
      <w:r w:rsidRPr="00410D6D">
        <w:rPr>
          <w:rFonts w:asciiTheme="majorHAnsi" w:hAnsiTheme="majorHAnsi" w:cs="AdvPSPH-R"/>
          <w:i/>
          <w:sz w:val="20"/>
          <w:szCs w:val="20"/>
        </w:rPr>
        <w:t>ylococcus</w:t>
      </w:r>
    </w:p>
    <w:p w:rsidR="00410D6D" w:rsidRDefault="00410D6D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CE1A7D" w:rsidRDefault="00162D52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2.  </w:t>
      </w:r>
      <w:r w:rsidR="00780C69">
        <w:rPr>
          <w:rFonts w:asciiTheme="majorHAnsi" w:hAnsiTheme="majorHAnsi" w:cs="AdvPSPH-R"/>
          <w:sz w:val="20"/>
          <w:szCs w:val="20"/>
        </w:rPr>
        <w:t>In the present study, w</w:t>
      </w:r>
      <w:r>
        <w:rPr>
          <w:rFonts w:asciiTheme="majorHAnsi" w:hAnsiTheme="majorHAnsi" w:cs="AdvPSPH-R"/>
          <w:sz w:val="20"/>
          <w:szCs w:val="20"/>
        </w:rPr>
        <w:t xml:space="preserve">hat percentage of dogs cultured positive for </w:t>
      </w:r>
      <w:proofErr w:type="spellStart"/>
      <w:r>
        <w:rPr>
          <w:rFonts w:asciiTheme="majorHAnsi" w:hAnsiTheme="majorHAnsi" w:cs="AdvPSPH-R"/>
          <w:i/>
          <w:sz w:val="20"/>
          <w:szCs w:val="20"/>
        </w:rPr>
        <w:t>Nocardia</w:t>
      </w:r>
      <w:proofErr w:type="spellEnd"/>
      <w:r>
        <w:rPr>
          <w:rFonts w:asciiTheme="majorHAnsi" w:hAnsiTheme="majorHAnsi" w:cs="AdvPSPH-R"/>
          <w:i/>
          <w:sz w:val="20"/>
          <w:szCs w:val="20"/>
        </w:rPr>
        <w:t xml:space="preserve">, </w:t>
      </w:r>
      <w:proofErr w:type="spellStart"/>
      <w:r>
        <w:rPr>
          <w:rFonts w:asciiTheme="majorHAnsi" w:hAnsiTheme="majorHAnsi" w:cs="AdvPSPH-R"/>
          <w:i/>
          <w:sz w:val="20"/>
          <w:szCs w:val="20"/>
        </w:rPr>
        <w:t>Actinomyces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or another filamentous organism?</w:t>
      </w:r>
    </w:p>
    <w:p w:rsidR="00162D52" w:rsidRDefault="00162D52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a. 5</w:t>
      </w:r>
      <w:proofErr w:type="gramEnd"/>
      <w:r>
        <w:rPr>
          <w:rFonts w:asciiTheme="majorHAnsi" w:hAnsiTheme="majorHAnsi" w:cs="AdvPSPH-R"/>
          <w:sz w:val="20"/>
          <w:szCs w:val="20"/>
        </w:rPr>
        <w:t>%</w:t>
      </w:r>
    </w:p>
    <w:p w:rsidR="00162D52" w:rsidRDefault="00162D52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b. 10</w:t>
      </w:r>
      <w:proofErr w:type="gramEnd"/>
      <w:r>
        <w:rPr>
          <w:rFonts w:asciiTheme="majorHAnsi" w:hAnsiTheme="majorHAnsi" w:cs="AdvPSPH-R"/>
          <w:sz w:val="20"/>
          <w:szCs w:val="20"/>
        </w:rPr>
        <w:t>%</w:t>
      </w:r>
    </w:p>
    <w:p w:rsidR="00162D52" w:rsidRDefault="00162D52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162D52">
        <w:rPr>
          <w:rFonts w:asciiTheme="majorHAnsi" w:hAnsiTheme="majorHAnsi" w:cs="AdvPSPH-R"/>
          <w:sz w:val="20"/>
          <w:szCs w:val="20"/>
          <w:highlight w:val="yellow"/>
        </w:rPr>
        <w:t>c. 13</w:t>
      </w:r>
      <w:proofErr w:type="gramEnd"/>
      <w:r w:rsidRPr="00162D52">
        <w:rPr>
          <w:rFonts w:asciiTheme="majorHAnsi" w:hAnsiTheme="majorHAnsi" w:cs="AdvPSPH-R"/>
          <w:sz w:val="20"/>
          <w:szCs w:val="20"/>
          <w:highlight w:val="yellow"/>
        </w:rPr>
        <w:t>%</w:t>
      </w:r>
    </w:p>
    <w:p w:rsidR="00162D52" w:rsidRDefault="00162D52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d. 26</w:t>
      </w:r>
      <w:proofErr w:type="gramEnd"/>
      <w:r>
        <w:rPr>
          <w:rFonts w:asciiTheme="majorHAnsi" w:hAnsiTheme="majorHAnsi" w:cs="AdvPSPH-R"/>
          <w:sz w:val="20"/>
          <w:szCs w:val="20"/>
        </w:rPr>
        <w:t>%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3.  An estimated _____ percent of pleural </w:t>
      </w:r>
      <w:proofErr w:type="spellStart"/>
      <w:r>
        <w:rPr>
          <w:rFonts w:asciiTheme="majorHAnsi" w:hAnsiTheme="majorHAnsi" w:cs="AdvPSPH-R"/>
          <w:sz w:val="20"/>
          <w:szCs w:val="20"/>
        </w:rPr>
        <w:t>lavage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fluid is absorbed? 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a. 10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lastRenderedPageBreak/>
        <w:tab/>
      </w:r>
      <w:r>
        <w:rPr>
          <w:rFonts w:asciiTheme="majorHAnsi" w:hAnsiTheme="majorHAnsi" w:cs="AdvPSPH-R"/>
          <w:sz w:val="20"/>
          <w:szCs w:val="20"/>
          <w:highlight w:val="yellow"/>
        </w:rPr>
        <w:t>b. 25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c. 30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  <w:t>d. 5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 xml:space="preserve">4. </w:t>
      </w:r>
      <w:proofErr w:type="spellStart"/>
      <w:r>
        <w:rPr>
          <w:rFonts w:asciiTheme="majorHAnsi" w:hAnsiTheme="majorHAnsi" w:cs="AdvPSPH-R"/>
          <w:sz w:val="20"/>
          <w:szCs w:val="20"/>
        </w:rPr>
        <w:t>Thoracostamy</w:t>
      </w:r>
      <w:proofErr w:type="spellEnd"/>
      <w:r>
        <w:rPr>
          <w:rFonts w:asciiTheme="majorHAnsi" w:hAnsiTheme="majorHAnsi" w:cs="AdvPSPH-R"/>
          <w:sz w:val="20"/>
          <w:szCs w:val="20"/>
        </w:rPr>
        <w:t xml:space="preserve"> tubes should be removed when less than what volume of fluid is produced per tube in a 24 hour period?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 w:rsidRPr="00780C69">
        <w:rPr>
          <w:rFonts w:asciiTheme="majorHAnsi" w:hAnsiTheme="majorHAnsi" w:cs="AdvPSPH-R"/>
          <w:sz w:val="20"/>
          <w:szCs w:val="20"/>
          <w:highlight w:val="yellow"/>
        </w:rPr>
        <w:t>a</w:t>
      </w:r>
      <w:proofErr w:type="gramEnd"/>
      <w:r w:rsidRPr="00780C69">
        <w:rPr>
          <w:rFonts w:asciiTheme="majorHAnsi" w:hAnsiTheme="majorHAnsi" w:cs="AdvPSPH-R"/>
          <w:sz w:val="20"/>
          <w:szCs w:val="20"/>
          <w:highlight w:val="yellow"/>
        </w:rPr>
        <w:t>. 2.2 ml/kg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b</w:t>
      </w:r>
      <w:proofErr w:type="gramEnd"/>
      <w:r>
        <w:rPr>
          <w:rFonts w:asciiTheme="majorHAnsi" w:hAnsiTheme="majorHAnsi" w:cs="AdvPSPH-R"/>
          <w:sz w:val="20"/>
          <w:szCs w:val="20"/>
        </w:rPr>
        <w:t>. 1 ml/kg</w:t>
      </w:r>
    </w:p>
    <w:p w:rsidR="00780C69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c</w:t>
      </w:r>
      <w:proofErr w:type="gramEnd"/>
      <w:r>
        <w:rPr>
          <w:rFonts w:asciiTheme="majorHAnsi" w:hAnsiTheme="majorHAnsi" w:cs="AdvPSPH-R"/>
          <w:sz w:val="20"/>
          <w:szCs w:val="20"/>
        </w:rPr>
        <w:t>. 0.5 ml/kg</w:t>
      </w:r>
    </w:p>
    <w:p w:rsidR="00780C69" w:rsidRPr="00162D52" w:rsidRDefault="00780C69" w:rsidP="0047597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dvPSPH-R"/>
          <w:sz w:val="20"/>
          <w:szCs w:val="20"/>
        </w:rPr>
      </w:pPr>
      <w:r>
        <w:rPr>
          <w:rFonts w:asciiTheme="majorHAnsi" w:hAnsiTheme="majorHAnsi" w:cs="AdvPSPH-R"/>
          <w:sz w:val="20"/>
          <w:szCs w:val="20"/>
        </w:rPr>
        <w:tab/>
      </w:r>
      <w:proofErr w:type="gramStart"/>
      <w:r>
        <w:rPr>
          <w:rFonts w:asciiTheme="majorHAnsi" w:hAnsiTheme="majorHAnsi" w:cs="AdvPSPH-R"/>
          <w:sz w:val="20"/>
          <w:szCs w:val="20"/>
        </w:rPr>
        <w:t>d</w:t>
      </w:r>
      <w:proofErr w:type="gramEnd"/>
      <w:r>
        <w:rPr>
          <w:rFonts w:asciiTheme="majorHAnsi" w:hAnsiTheme="majorHAnsi" w:cs="AdvPSPH-R"/>
          <w:sz w:val="20"/>
          <w:szCs w:val="20"/>
        </w:rPr>
        <w:t xml:space="preserve">. 4 ml/kg  </w:t>
      </w:r>
    </w:p>
    <w:sectPr w:rsidR="00780C69" w:rsidRPr="00162D52" w:rsidSect="002A4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Light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dvPSHV-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PH-S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MP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PH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MP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SPS-A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Sy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790F"/>
    <w:multiLevelType w:val="hybridMultilevel"/>
    <w:tmpl w:val="6E34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B73AE"/>
    <w:multiLevelType w:val="hybridMultilevel"/>
    <w:tmpl w:val="CF16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3040E"/>
    <w:multiLevelType w:val="hybridMultilevel"/>
    <w:tmpl w:val="86BA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0BA"/>
    <w:rsid w:val="00001B7D"/>
    <w:rsid w:val="00070490"/>
    <w:rsid w:val="00071E76"/>
    <w:rsid w:val="00083CB6"/>
    <w:rsid w:val="000A1EC1"/>
    <w:rsid w:val="000C47BE"/>
    <w:rsid w:val="00134962"/>
    <w:rsid w:val="00162D52"/>
    <w:rsid w:val="001E6780"/>
    <w:rsid w:val="00210DF7"/>
    <w:rsid w:val="00271103"/>
    <w:rsid w:val="0029070B"/>
    <w:rsid w:val="002A4539"/>
    <w:rsid w:val="00301072"/>
    <w:rsid w:val="003F1B73"/>
    <w:rsid w:val="00410D6D"/>
    <w:rsid w:val="004420C6"/>
    <w:rsid w:val="00475970"/>
    <w:rsid w:val="004B1540"/>
    <w:rsid w:val="004B505B"/>
    <w:rsid w:val="0052640A"/>
    <w:rsid w:val="005C774F"/>
    <w:rsid w:val="00780C69"/>
    <w:rsid w:val="00853086"/>
    <w:rsid w:val="008B19B5"/>
    <w:rsid w:val="008D71C1"/>
    <w:rsid w:val="00A1161D"/>
    <w:rsid w:val="00AA4340"/>
    <w:rsid w:val="00B723B8"/>
    <w:rsid w:val="00B76EE9"/>
    <w:rsid w:val="00CE1A7D"/>
    <w:rsid w:val="00D210BA"/>
    <w:rsid w:val="00D97236"/>
    <w:rsid w:val="00E255AF"/>
    <w:rsid w:val="00E80242"/>
    <w:rsid w:val="00EF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9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Computing</dc:creator>
  <cp:keywords/>
  <dc:description/>
  <cp:lastModifiedBy>jrs455</cp:lastModifiedBy>
  <cp:revision>27</cp:revision>
  <dcterms:created xsi:type="dcterms:W3CDTF">2010-03-13T14:11:00Z</dcterms:created>
  <dcterms:modified xsi:type="dcterms:W3CDTF">2010-03-22T00:18:00Z</dcterms:modified>
</cp:coreProperties>
</file>