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460" w:rsidRDefault="004E0460" w:rsidP="004E0460">
      <w:pPr>
        <w:spacing w:before="100" w:beforeAutospacing="1" w:after="100" w:afterAutospacing="1"/>
        <w:jc w:val="center"/>
      </w:pPr>
      <w:r>
        <w:rPr>
          <w:b/>
          <w:bCs/>
        </w:rPr>
        <w:t>University of Washington Libraries Annual Report for Public Services “Big Heads”</w:t>
      </w:r>
    </w:p>
    <w:p w:rsidR="004E0460" w:rsidRDefault="004E0460" w:rsidP="004E0460">
      <w:pPr>
        <w:spacing w:before="100" w:beforeAutospacing="1" w:after="100" w:afterAutospacing="1"/>
        <w:jc w:val="center"/>
      </w:pPr>
      <w:r>
        <w:rPr>
          <w:b/>
          <w:bCs/>
        </w:rPr>
        <w:t>2012</w:t>
      </w:r>
    </w:p>
    <w:p w:rsidR="004E0460" w:rsidRDefault="004E0460" w:rsidP="004E0460">
      <w:pPr>
        <w:spacing w:before="100" w:beforeAutospacing="1" w:after="100" w:afterAutospacing="1"/>
        <w:jc w:val="center"/>
      </w:pPr>
      <w:r>
        <w:rPr>
          <w:b/>
          <w:bCs/>
        </w:rPr>
        <w:t>Submitted by Cynthia Fugate</w:t>
      </w:r>
    </w:p>
    <w:p w:rsidR="004E0460" w:rsidRDefault="004E0460" w:rsidP="004E0460">
      <w:pPr>
        <w:spacing w:before="100" w:beforeAutospacing="1" w:after="100" w:afterAutospacing="1"/>
        <w:jc w:val="center"/>
      </w:pPr>
      <w:r>
        <w:rPr>
          <w:b/>
          <w:bCs/>
        </w:rPr>
        <w:t> </w:t>
      </w:r>
    </w:p>
    <w:p w:rsidR="004E0460" w:rsidRDefault="004E0460" w:rsidP="004E0460">
      <w:pPr>
        <w:spacing w:before="100" w:beforeAutospacing="1" w:after="100" w:afterAutospacing="1"/>
      </w:pPr>
      <w:hyperlink r:id="rId5" w:history="1">
        <w:r>
          <w:rPr>
            <w:rStyle w:val="Hyperlink"/>
          </w:rPr>
          <w:t>Renovation of Odegaard Undergraduate Library</w:t>
        </w:r>
      </w:hyperlink>
      <w:r>
        <w:t xml:space="preserve"> has begun.  Miller Hull Partnership is the project architect for this $16.575 million project, funded by the Legislature.  The renovation will address the first floor and mezzanine: classrooms, Writing Center, and study spaces will be added, services will be reoriented, and staff offices will be grouped together on the mezzanine. The (very) large double staircase will be replaced with a more modest structure, freeing up more room for classroom and collaboration space.  Skylights will be added. This is the first half of the renovation; additional funding will be sought to renovate the rest of the Library.  As part of this renovation, the Media Center has been relocated to the Suzzallo Library.  When the renovation is complete in Fall 2013, librarians will begin offering research support services in the Writing Center.</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t>Foster Business Library renovation associated with the construction of two new Business School buildings was completed this spring—the end of a two part, four year process.  As part of the renovation, the downsized book collection was brought back onsite to new compact shelving installation and new informal and flexible furnishings were purchased as part of project</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hyperlink r:id="rId6" w:history="1">
        <w:r>
          <w:rPr>
            <w:rStyle w:val="Hyperlink"/>
          </w:rPr>
          <w:t>Research Commons</w:t>
        </w:r>
      </w:hyperlink>
      <w:r>
        <w:t xml:space="preserve"> programming for graduate students continues to grow.  Particularly successful events included the Graduate Student Lightning Rounds in which graduate students from many disciplines  presented their research around the theme of sustainability,   Grant Writing for the Humanities and Social Sciences (Prof. Miriam Bartha), Grant Writing for NIH(Prof. Kelly Edwards) and Time Management for Graduate Students (Prof. David Domke).   Events have also taken off, with several day long workshops on topics from GIS to Occupy Seattle.  Services and spaces continue to be tweaked in response to the continuous assessment program.  </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t xml:space="preserve">The Data Services Coordinator launched the new </w:t>
      </w:r>
      <w:hyperlink r:id="rId7" w:history="1">
        <w:r>
          <w:rPr>
            <w:rStyle w:val="Hyperlink"/>
          </w:rPr>
          <w:t>Data Services LibGuide</w:t>
        </w:r>
      </w:hyperlink>
      <w:r>
        <w:t xml:space="preserve"> and began presenting and consulting with researchers and program heads on campus.  Several useful and interesting partnerships with other data service providers on campus are underway, just in time for the President to launch a “big data” initiative.</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lastRenderedPageBreak/>
        <w:t>The Honors Librarian Program completed its second year of the pilot.  This program provides each Honors first year student with  a “personal” librarian who will be a point of contact for them throughout their four years at UW.  Librarians participate in the first year programs and also have a formal role in the culminating portfolio project.  Following a review of our assessment data, we hope to expand this model to reach more students.</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t xml:space="preserve">Electronic Theses and Dissertations have become standard at UW for all students.   Finished products are deposited in ResearchWorks, the Libraries’ repository, and in ProQuest.  Libraries staff have worked with the Graduate School to educate students about copyright and other scholarly communications issues.  Programming includes presentations by Libraries and Graduate School staff and individual consultations. </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t xml:space="preserve">Reference Desk Services Task Force completed its work, which included an extensive qualitative and quantitative analysis of reference questions, with particular attention to type and complexity of questions asked at the desk.  Acting on the recommendations, we are transitioning from a “just in case” model of staffing desks to one which encourages librarians to concentrate on consultations, departmental outreach and focused support of researchers at all levels. </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t>Continuing our quest to preserve scholarly time, the Libraries has built on its desktop delivery of journal articles and now delivers print materials to faculty and staff mail boxes.  Desktop delivery continues to be available to all students, faculty and staff.  Plans to provide desktop delivery of chapters has been temporarily shelved due to the huge popularity of the journal scanning (and consequent pressure on staffing).</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t xml:space="preserve">The University Libraries along with the other 37 members of the </w:t>
      </w:r>
      <w:hyperlink r:id="rId8" w:history="1">
        <w:r>
          <w:rPr>
            <w:rStyle w:val="Hyperlink"/>
          </w:rPr>
          <w:t>Orbis Cascade Alliance</w:t>
        </w:r>
      </w:hyperlink>
      <w:r>
        <w:t xml:space="preserve"> is negotiating business terms with selected vendors who responded to an RFP for a shared Integrated Library System.</w:t>
      </w:r>
    </w:p>
    <w:p w:rsidR="004E0460" w:rsidRDefault="004E0460" w:rsidP="004E0460">
      <w:pPr>
        <w:spacing w:before="100" w:beforeAutospacing="1" w:after="100" w:afterAutospacing="1"/>
      </w:pPr>
      <w:r>
        <w:t xml:space="preserve">     </w:t>
      </w:r>
    </w:p>
    <w:p w:rsidR="004E0460" w:rsidRDefault="004E0460" w:rsidP="004E0460">
      <w:pPr>
        <w:spacing w:before="100" w:beforeAutospacing="1" w:after="100" w:afterAutospacing="1"/>
      </w:pPr>
      <w:r>
        <w:t>Looking forward to seeing everyone in LA.</w:t>
      </w:r>
    </w:p>
    <w:p w:rsidR="004E0460" w:rsidRDefault="004E0460" w:rsidP="004E0460">
      <w:pPr>
        <w:spacing w:before="100" w:beforeAutospacing="1" w:after="100" w:afterAutospacing="1"/>
      </w:pPr>
      <w:r>
        <w:t xml:space="preserve">Best, </w:t>
      </w:r>
    </w:p>
    <w:p w:rsidR="004E0460" w:rsidRDefault="004E0460" w:rsidP="004E0460">
      <w:pPr>
        <w:spacing w:before="100" w:beforeAutospacing="1" w:after="100" w:afterAutospacing="1"/>
      </w:pPr>
      <w:r>
        <w:t>Cynthia</w:t>
      </w:r>
    </w:p>
    <w:p w:rsidR="004E0460" w:rsidRDefault="004E0460" w:rsidP="004E0460">
      <w:pPr>
        <w:spacing w:before="100" w:beforeAutospacing="1" w:after="100" w:afterAutospacing="1"/>
      </w:pPr>
      <w:r>
        <w:t> </w:t>
      </w:r>
    </w:p>
    <w:p w:rsidR="004E0460" w:rsidRDefault="004E0460" w:rsidP="004E0460">
      <w:pPr>
        <w:spacing w:before="100" w:beforeAutospacing="1" w:after="100" w:afterAutospacing="1"/>
      </w:pPr>
      <w:r>
        <w:lastRenderedPageBreak/>
        <w:t>Cynthia Fugate</w:t>
      </w:r>
    </w:p>
    <w:p w:rsidR="004E0460" w:rsidRDefault="004E0460" w:rsidP="004E0460">
      <w:pPr>
        <w:spacing w:before="100" w:beforeAutospacing="1" w:after="100" w:afterAutospacing="1"/>
      </w:pPr>
      <w:r>
        <w:t>Senior Associate Dean of University Libraries</w:t>
      </w:r>
    </w:p>
    <w:p w:rsidR="004E0460" w:rsidRDefault="004E0460" w:rsidP="004E0460">
      <w:pPr>
        <w:spacing w:before="100" w:beforeAutospacing="1" w:after="100" w:afterAutospacing="1"/>
      </w:pPr>
      <w:r>
        <w:t>University of Washington Libraries</w:t>
      </w:r>
    </w:p>
    <w:p w:rsidR="004E0460" w:rsidRDefault="004E0460" w:rsidP="004E0460">
      <w:pPr>
        <w:spacing w:before="100" w:beforeAutospacing="1" w:after="100" w:afterAutospacing="1"/>
      </w:pPr>
      <w:r>
        <w:t>352900</w:t>
      </w:r>
    </w:p>
    <w:p w:rsidR="004E0460" w:rsidRDefault="004E0460" w:rsidP="004E0460">
      <w:pPr>
        <w:spacing w:before="100" w:beforeAutospacing="1" w:after="100" w:afterAutospacing="1"/>
      </w:pPr>
      <w:r>
        <w:t>206.221.0541</w:t>
      </w:r>
    </w:p>
    <w:p w:rsidR="004E0460" w:rsidRDefault="004E0460" w:rsidP="004E0460">
      <w:pPr>
        <w:spacing w:before="100" w:beforeAutospacing="1" w:after="100" w:afterAutospacing="1"/>
      </w:pPr>
      <w:r>
        <w:t> </w:t>
      </w:r>
    </w:p>
    <w:p w:rsidR="006C625F" w:rsidRDefault="006C625F">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460"/>
    <w:rsid w:val="004E0460"/>
    <w:rsid w:val="006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460"/>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04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460"/>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04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8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biscascade.org/" TargetMode="External"/><Relationship Id="rId3" Type="http://schemas.openxmlformats.org/officeDocument/2006/relationships/settings" Target="settings.xml"/><Relationship Id="rId7" Type="http://schemas.openxmlformats.org/officeDocument/2006/relationships/hyperlink" Target="http://guides.lib.washington.edu/content.php?pid=145215&amp;sid=123467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ommons.lib.washington.edu/" TargetMode="External"/><Relationship Id="rId5" Type="http://schemas.openxmlformats.org/officeDocument/2006/relationships/hyperlink" Target="http://www.lib.washington.edu/ougl/renovation/relea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2012-06-20T19:05:00Z</dcterms:created>
  <dcterms:modified xsi:type="dcterms:W3CDTF">2012-06-20T19:05:00Z</dcterms:modified>
</cp:coreProperties>
</file>